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A77C" w14:textId="77777777" w:rsidR="00DF5571" w:rsidRDefault="00DF5571">
      <w:pPr>
        <w:spacing w:after="0" w:line="240" w:lineRule="auto"/>
        <w:jc w:val="center"/>
        <w:rPr>
          <w:rFonts w:ascii="Times New Roman" w:hAnsi="Times New Roman"/>
          <w:b/>
          <w:sz w:val="24"/>
          <w:szCs w:val="24"/>
        </w:rPr>
      </w:pPr>
    </w:p>
    <w:p w14:paraId="78764019" w14:textId="77777777" w:rsidR="00DF5571" w:rsidRDefault="0058167A">
      <w:pPr>
        <w:spacing w:after="0" w:line="240" w:lineRule="auto"/>
        <w:jc w:val="center"/>
        <w:rPr>
          <w:rFonts w:ascii="Times New Roman" w:hAnsi="Times New Roman"/>
          <w:b/>
          <w:sz w:val="24"/>
          <w:szCs w:val="24"/>
        </w:rPr>
      </w:pPr>
      <w:r w:rsidRPr="0058167A">
        <w:rPr>
          <w:rFonts w:ascii="Times New Roman" w:hAnsi="Times New Roman"/>
          <w:b/>
          <w:sz w:val="24"/>
          <w:szCs w:val="24"/>
        </w:rPr>
        <w:t xml:space="preserve">PERSEPSI GURU TERHADAP PENGGUNAAN ASESMEN FORMATIF </w:t>
      </w:r>
      <w:r>
        <w:rPr>
          <w:rFonts w:ascii="Times New Roman" w:hAnsi="Times New Roman"/>
          <w:b/>
          <w:sz w:val="24"/>
          <w:szCs w:val="24"/>
        </w:rPr>
        <w:br/>
      </w:r>
      <w:r w:rsidRPr="0058167A">
        <w:rPr>
          <w:rFonts w:ascii="Times New Roman" w:hAnsi="Times New Roman"/>
          <w:b/>
          <w:sz w:val="24"/>
          <w:szCs w:val="24"/>
        </w:rPr>
        <w:t xml:space="preserve">DALAM PEMBELAJARAN MATEMATIKA MATERI SPLDV </w:t>
      </w:r>
      <w:r>
        <w:rPr>
          <w:rFonts w:ascii="Times New Roman" w:hAnsi="Times New Roman"/>
          <w:b/>
          <w:sz w:val="24"/>
          <w:szCs w:val="24"/>
        </w:rPr>
        <w:br/>
      </w:r>
      <w:r w:rsidRPr="0058167A">
        <w:rPr>
          <w:rFonts w:ascii="Times New Roman" w:hAnsi="Times New Roman"/>
          <w:b/>
          <w:sz w:val="24"/>
          <w:szCs w:val="24"/>
        </w:rPr>
        <w:t>DI SEKOLAH MENENGAH PERTAMA</w:t>
      </w:r>
    </w:p>
    <w:p w14:paraId="6B85E941" w14:textId="77777777" w:rsidR="00DF5571" w:rsidRDefault="00DF5571">
      <w:pPr>
        <w:pStyle w:val="Heading2"/>
        <w:spacing w:before="0"/>
        <w:rPr>
          <w:rFonts w:ascii="Times New Roman" w:hAnsi="Times New Roman"/>
          <w:color w:val="000000"/>
          <w:sz w:val="20"/>
          <w:szCs w:val="20"/>
        </w:rPr>
      </w:pPr>
    </w:p>
    <w:p w14:paraId="0B524B4B" w14:textId="2F6A01BE" w:rsidR="00DF5571" w:rsidRPr="00D84D35" w:rsidRDefault="005849CE">
      <w:pPr>
        <w:pStyle w:val="Heading2"/>
        <w:spacing w:before="0"/>
        <w:rPr>
          <w:rFonts w:ascii="Times New Roman" w:hAnsi="Times New Roman"/>
          <w:color w:val="000000"/>
          <w:sz w:val="20"/>
          <w:szCs w:val="20"/>
          <w:vertAlign w:val="superscript"/>
        </w:rPr>
      </w:pPr>
      <w:r w:rsidRPr="005849CE">
        <w:rPr>
          <w:rFonts w:ascii="Times New Roman" w:hAnsi="Times New Roman"/>
          <w:color w:val="000000"/>
          <w:sz w:val="20"/>
          <w:szCs w:val="20"/>
        </w:rPr>
        <w:t xml:space="preserve">Linda Ramadhanty Januar </w:t>
      </w:r>
      <w:r>
        <w:rPr>
          <w:rFonts w:ascii="Times New Roman" w:hAnsi="Times New Roman"/>
          <w:color w:val="000000"/>
          <w:sz w:val="20"/>
          <w:szCs w:val="20"/>
          <w:vertAlign w:val="superscript"/>
        </w:rPr>
        <w:t>1)</w:t>
      </w:r>
      <w:r w:rsidR="00D84D35">
        <w:rPr>
          <w:rFonts w:ascii="Times New Roman" w:hAnsi="Times New Roman"/>
          <w:color w:val="000000"/>
          <w:sz w:val="20"/>
          <w:szCs w:val="20"/>
        </w:rPr>
        <w:t>, Sahrul Muzekki</w:t>
      </w:r>
      <w:r w:rsidR="00D84D35">
        <w:rPr>
          <w:rFonts w:ascii="Times New Roman" w:hAnsi="Times New Roman"/>
          <w:color w:val="000000"/>
          <w:sz w:val="20"/>
          <w:szCs w:val="20"/>
          <w:vertAlign w:val="superscript"/>
        </w:rPr>
        <w:t>2)</w:t>
      </w:r>
    </w:p>
    <w:p w14:paraId="6F1F2647" w14:textId="77777777" w:rsidR="00DF5571" w:rsidRDefault="00DF5571">
      <w:pPr>
        <w:spacing w:after="0"/>
        <w:rPr>
          <w:sz w:val="10"/>
          <w:szCs w:val="10"/>
        </w:rPr>
      </w:pPr>
    </w:p>
    <w:p w14:paraId="190C6E2D" w14:textId="1D7EBE63" w:rsidR="00DF5571" w:rsidRDefault="00945FF6">
      <w:pPr>
        <w:pStyle w:val="Heading2"/>
        <w:spacing w:before="0"/>
        <w:rPr>
          <w:rFonts w:ascii="Times New Roman" w:hAnsi="Times New Roman"/>
          <w:color w:val="000000"/>
          <w:sz w:val="20"/>
          <w:szCs w:val="20"/>
        </w:rPr>
      </w:pPr>
      <w:r>
        <w:rPr>
          <w:rFonts w:ascii="Times New Roman" w:hAnsi="Times New Roman"/>
          <w:color w:val="000000"/>
          <w:sz w:val="20"/>
          <w:szCs w:val="20"/>
          <w:vertAlign w:val="superscript"/>
        </w:rPr>
        <w:t>1</w:t>
      </w:r>
      <w:r w:rsidR="00D84D35">
        <w:rPr>
          <w:rFonts w:ascii="Times New Roman" w:hAnsi="Times New Roman"/>
          <w:color w:val="000000"/>
          <w:sz w:val="20"/>
          <w:szCs w:val="20"/>
        </w:rPr>
        <w:t xml:space="preserve">STKIP PGRI Sampang, </w:t>
      </w:r>
      <w:r w:rsidR="00D84D35" w:rsidRPr="00D84D35">
        <w:rPr>
          <w:rFonts w:ascii="Times New Roman" w:hAnsi="Times New Roman"/>
          <w:color w:val="000000"/>
          <w:sz w:val="20"/>
          <w:szCs w:val="20"/>
        </w:rPr>
        <w:t>Jl Raya Torjun Indah No. 122</w:t>
      </w:r>
      <w:r w:rsidR="00D84D35">
        <w:rPr>
          <w:rFonts w:ascii="Times New Roman" w:hAnsi="Times New Roman"/>
          <w:color w:val="000000"/>
          <w:sz w:val="20"/>
          <w:szCs w:val="20"/>
        </w:rPr>
        <w:t xml:space="preserve">, Sampang, </w:t>
      </w:r>
      <w:r w:rsidR="00D84D35" w:rsidRPr="00D84D35">
        <w:rPr>
          <w:rFonts w:ascii="Times New Roman" w:hAnsi="Times New Roman"/>
          <w:color w:val="000000"/>
          <w:sz w:val="20"/>
          <w:szCs w:val="20"/>
        </w:rPr>
        <w:t>69271</w:t>
      </w:r>
      <w:r w:rsidR="00D84D35">
        <w:rPr>
          <w:rFonts w:ascii="Times New Roman" w:hAnsi="Times New Roman"/>
          <w:color w:val="000000"/>
          <w:sz w:val="20"/>
          <w:szCs w:val="20"/>
        </w:rPr>
        <w:t>, Indonesia</w:t>
      </w:r>
    </w:p>
    <w:p w14:paraId="09431C73" w14:textId="20A0E61A" w:rsidR="00D84D35" w:rsidRPr="00D84D35" w:rsidRDefault="00D84D35" w:rsidP="00D84D35">
      <w:pPr>
        <w:pStyle w:val="Heading2"/>
        <w:spacing w:before="0"/>
        <w:rPr>
          <w:rFonts w:ascii="Times New Roman" w:hAnsi="Times New Roman"/>
          <w:color w:val="000000"/>
          <w:sz w:val="20"/>
          <w:szCs w:val="20"/>
        </w:rPr>
      </w:pPr>
      <w:r>
        <w:rPr>
          <w:vertAlign w:val="superscript"/>
        </w:rPr>
        <w:t>2</w:t>
      </w:r>
      <w:r w:rsidRPr="00D84D35">
        <w:rPr>
          <w:rFonts w:ascii="Times New Roman" w:hAnsi="Times New Roman"/>
          <w:color w:val="000000"/>
          <w:sz w:val="20"/>
          <w:szCs w:val="20"/>
        </w:rPr>
        <w:t xml:space="preserve"> </w:t>
      </w:r>
      <w:r>
        <w:rPr>
          <w:rFonts w:ascii="Times New Roman" w:hAnsi="Times New Roman"/>
          <w:color w:val="000000"/>
          <w:sz w:val="20"/>
          <w:szCs w:val="20"/>
        </w:rPr>
        <w:t xml:space="preserve">STKIP PGRI Sampang, </w:t>
      </w:r>
      <w:r w:rsidRPr="00D84D35">
        <w:rPr>
          <w:rFonts w:ascii="Times New Roman" w:hAnsi="Times New Roman"/>
          <w:color w:val="000000"/>
          <w:sz w:val="20"/>
          <w:szCs w:val="20"/>
        </w:rPr>
        <w:t>Jl Raya Torjun Indah No. 122</w:t>
      </w:r>
      <w:r>
        <w:rPr>
          <w:rFonts w:ascii="Times New Roman" w:hAnsi="Times New Roman"/>
          <w:color w:val="000000"/>
          <w:sz w:val="20"/>
          <w:szCs w:val="20"/>
        </w:rPr>
        <w:t xml:space="preserve">, Sampang, </w:t>
      </w:r>
      <w:r w:rsidRPr="00D84D35">
        <w:rPr>
          <w:rFonts w:ascii="Times New Roman" w:hAnsi="Times New Roman"/>
          <w:color w:val="000000"/>
          <w:sz w:val="20"/>
          <w:szCs w:val="20"/>
        </w:rPr>
        <w:t>69271</w:t>
      </w:r>
      <w:r>
        <w:rPr>
          <w:rFonts w:ascii="Times New Roman" w:hAnsi="Times New Roman"/>
          <w:color w:val="000000"/>
          <w:sz w:val="20"/>
          <w:szCs w:val="20"/>
        </w:rPr>
        <w:t>, Indonesia</w:t>
      </w:r>
    </w:p>
    <w:p w14:paraId="0CEB7BE8" w14:textId="77777777" w:rsidR="00DF5571" w:rsidRDefault="00DF5571">
      <w:pPr>
        <w:pStyle w:val="Heading2"/>
        <w:spacing w:before="0"/>
        <w:rPr>
          <w:rFonts w:ascii="Times New Roman" w:hAnsi="Times New Roman"/>
          <w:color w:val="000000"/>
          <w:sz w:val="10"/>
          <w:szCs w:val="10"/>
        </w:rPr>
      </w:pPr>
    </w:p>
    <w:p w14:paraId="40FD38AA" w14:textId="77777777" w:rsidR="00DF5571" w:rsidRDefault="00945FF6">
      <w:pPr>
        <w:spacing w:after="0" w:line="240" w:lineRule="auto"/>
        <w:rPr>
          <w:rFonts w:ascii="Times New Roman" w:hAnsi="Times New Roman"/>
          <w:i/>
          <w:sz w:val="20"/>
          <w:szCs w:val="20"/>
        </w:rPr>
      </w:pPr>
      <w:r>
        <w:rPr>
          <w:rFonts w:ascii="Times New Roman" w:hAnsi="Times New Roman"/>
          <w:i/>
          <w:sz w:val="20"/>
          <w:szCs w:val="20"/>
          <w:vertAlign w:val="superscript"/>
        </w:rPr>
        <w:t>*</w:t>
      </w:r>
      <w:r>
        <w:rPr>
          <w:rFonts w:ascii="Times New Roman" w:hAnsi="Times New Roman"/>
          <w:i/>
          <w:sz w:val="20"/>
          <w:szCs w:val="20"/>
        </w:rPr>
        <w:t>email koresponden</w:t>
      </w:r>
    </w:p>
    <w:p w14:paraId="4D73B33D" w14:textId="77777777" w:rsidR="00DF5571" w:rsidRDefault="00DF5571">
      <w:pPr>
        <w:spacing w:after="0" w:line="240" w:lineRule="auto"/>
        <w:rPr>
          <w:rFonts w:ascii="Times New Roman" w:hAnsi="Times New Roman"/>
          <w:i/>
          <w:sz w:val="10"/>
          <w:szCs w:val="10"/>
        </w:rPr>
      </w:pPr>
    </w:p>
    <w:tbl>
      <w:tblPr>
        <w:tblStyle w:val="a1"/>
        <w:tblW w:w="9000" w:type="dxa"/>
        <w:tblBorders>
          <w:top w:val="single" w:sz="18" w:space="0" w:color="000000"/>
          <w:left w:val="single" w:sz="4" w:space="0" w:color="000000"/>
          <w:bottom w:val="single" w:sz="18" w:space="0" w:color="000000"/>
          <w:right w:val="single" w:sz="4" w:space="0" w:color="000000"/>
          <w:insideH w:val="single" w:sz="18" w:space="0" w:color="000000"/>
          <w:insideV w:val="single" w:sz="4" w:space="0" w:color="000000"/>
        </w:tblBorders>
        <w:tblLayout w:type="fixed"/>
        <w:tblLook w:val="04A0" w:firstRow="1" w:lastRow="0" w:firstColumn="1" w:lastColumn="0" w:noHBand="0" w:noVBand="1"/>
      </w:tblPr>
      <w:tblGrid>
        <w:gridCol w:w="2520"/>
        <w:gridCol w:w="6480"/>
      </w:tblGrid>
      <w:tr w:rsidR="00DF5571" w14:paraId="23021246" w14:textId="77777777" w:rsidTr="00DF5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000000"/>
              <w:bottom w:val="single" w:sz="12" w:space="0" w:color="000000"/>
            </w:tcBorders>
            <w:shd w:val="clear" w:color="auto" w:fill="FFFFFF"/>
          </w:tcPr>
          <w:p w14:paraId="6AB0110F" w14:textId="77777777" w:rsidR="00DF5571" w:rsidRDefault="00945FF6">
            <w:pPr>
              <w:jc w:val="center"/>
              <w:rPr>
                <w:rFonts w:ascii="Times New Roman" w:hAnsi="Times New Roman"/>
                <w:sz w:val="20"/>
                <w:szCs w:val="20"/>
              </w:rPr>
            </w:pPr>
            <w:r>
              <w:rPr>
                <w:rFonts w:ascii="Times New Roman" w:hAnsi="Times New Roman"/>
                <w:sz w:val="20"/>
                <w:szCs w:val="20"/>
              </w:rPr>
              <w:t>ARTICLE INFO</w:t>
            </w:r>
          </w:p>
        </w:tc>
        <w:tc>
          <w:tcPr>
            <w:tcW w:w="6480" w:type="dxa"/>
            <w:tcBorders>
              <w:top w:val="single" w:sz="12" w:space="0" w:color="000000"/>
              <w:bottom w:val="single" w:sz="12" w:space="0" w:color="000000"/>
            </w:tcBorders>
            <w:shd w:val="clear" w:color="auto" w:fill="FFFFFF"/>
          </w:tcPr>
          <w:p w14:paraId="7F8B6DD9" w14:textId="77777777" w:rsidR="00DF5571" w:rsidRDefault="00945F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ABSTRAK</w:t>
            </w:r>
          </w:p>
        </w:tc>
      </w:tr>
      <w:tr w:rsidR="00DF5571" w14:paraId="0D0CBC08" w14:textId="77777777" w:rsidTr="00DF5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12" w:space="0" w:color="000000"/>
            </w:tcBorders>
            <w:shd w:val="clear" w:color="auto" w:fill="FFFFFF"/>
          </w:tcPr>
          <w:p w14:paraId="2183C566" w14:textId="77777777" w:rsidR="00DF5571" w:rsidRDefault="00945FF6">
            <w:pPr>
              <w:rPr>
                <w:rFonts w:ascii="Times New Roman" w:hAnsi="Times New Roman"/>
                <w:i/>
                <w:sz w:val="20"/>
                <w:szCs w:val="20"/>
              </w:rPr>
            </w:pPr>
            <w:r>
              <w:rPr>
                <w:rFonts w:ascii="Times New Roman" w:hAnsi="Times New Roman"/>
                <w:i/>
                <w:sz w:val="20"/>
                <w:szCs w:val="20"/>
              </w:rPr>
              <w:t>Article History:</w:t>
            </w:r>
          </w:p>
          <w:p w14:paraId="573895D9" w14:textId="77777777" w:rsidR="00DF5571" w:rsidRDefault="00945FF6">
            <w:pPr>
              <w:rPr>
                <w:rFonts w:ascii="Times New Roman" w:hAnsi="Times New Roman"/>
                <w:sz w:val="20"/>
                <w:szCs w:val="20"/>
              </w:rPr>
            </w:pPr>
            <w:r>
              <w:rPr>
                <w:rFonts w:ascii="Times New Roman" w:hAnsi="Times New Roman"/>
                <w:b w:val="0"/>
                <w:sz w:val="20"/>
                <w:szCs w:val="20"/>
              </w:rPr>
              <w:t>Received: dd/mm/yyyy</w:t>
            </w:r>
          </w:p>
          <w:p w14:paraId="30D97DB9" w14:textId="77777777" w:rsidR="00DF5571" w:rsidRDefault="00945FF6">
            <w:pPr>
              <w:rPr>
                <w:rFonts w:ascii="Times New Roman" w:hAnsi="Times New Roman"/>
                <w:sz w:val="20"/>
                <w:szCs w:val="20"/>
              </w:rPr>
            </w:pPr>
            <w:r>
              <w:rPr>
                <w:rFonts w:ascii="Times New Roman" w:hAnsi="Times New Roman"/>
                <w:b w:val="0"/>
                <w:sz w:val="20"/>
                <w:szCs w:val="20"/>
              </w:rPr>
              <w:t>Revised: dd/mm/yyyy</w:t>
            </w:r>
          </w:p>
          <w:p w14:paraId="22B8FE85" w14:textId="77777777" w:rsidR="00DF5571" w:rsidRDefault="00945FF6">
            <w:pPr>
              <w:rPr>
                <w:rFonts w:ascii="Times New Roman" w:hAnsi="Times New Roman"/>
                <w:sz w:val="20"/>
                <w:szCs w:val="20"/>
              </w:rPr>
            </w:pPr>
            <w:r>
              <w:rPr>
                <w:rFonts w:ascii="Times New Roman" w:hAnsi="Times New Roman"/>
                <w:b w:val="0"/>
                <w:sz w:val="20"/>
                <w:szCs w:val="20"/>
              </w:rPr>
              <w:t>Accepted: dd/mm/yyyy</w:t>
            </w:r>
          </w:p>
        </w:tc>
        <w:tc>
          <w:tcPr>
            <w:tcW w:w="6480" w:type="dxa"/>
            <w:tcBorders>
              <w:top w:val="single" w:sz="12" w:space="0" w:color="000000"/>
              <w:bottom w:val="single" w:sz="12" w:space="0" w:color="000000"/>
            </w:tcBorders>
            <w:shd w:val="clear" w:color="auto" w:fill="FFFFFF"/>
          </w:tcPr>
          <w:p w14:paraId="2E0905C4" w14:textId="77777777" w:rsidR="0084739E" w:rsidRDefault="0084739E"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84739E">
              <w:rPr>
                <w:rFonts w:ascii="Times New Roman" w:hAnsi="Times New Roman"/>
                <w:i/>
                <w:sz w:val="20"/>
                <w:szCs w:val="20"/>
              </w:rPr>
              <w:t>Penelitian ini bertujuan untuk mengeksplorasi persepsi guru terhadap penggunaan asesmen formatif dalam pembelajaran matematika di tingkat Sekolah Menengah Pertama (SMP). Asesmen formatif dianggap sebagai alat penting yang memungkinkan guru memantau kemajuan belajar siswa, memberikan umpan balik yang konstruktif, dan menyesuaikan strategi pengajaran sesuai kebutuhan siswa. Melalui pendekatan kualitatif, data dikumpulkan dari wawancara semi terstruktur dengan tiga guru matematika dari tiga SMP di Sampang. Hasil penelitian menunjukkan bahwa guru memiliki pemahaman yang baik mengenai konsep asesmen formatif dan menggunakan berbagai metode untuk implementasinya, meskipun menghadapi tantangan seperti keterbatasan waktu dan beban kerja yang tinggi. Para guru melaporkan bahwa asesmen formatif memiliki pengaruh positif terhadap partisipasi dan pemahaman siswa. Penelitian ini menggarisbawahi perlunya dukungan tambahan dan pelatihan bagi guru untuk meningkatkan efektivitas asesmen formatif dalam pembelajaran matematika, dengan tujuan akhir meningkatkan hasil belajar siswa.</w:t>
            </w:r>
          </w:p>
          <w:p w14:paraId="2B2EF4B0" w14:textId="77777777" w:rsidR="0084739E" w:rsidRPr="0084739E" w:rsidRDefault="0084739E"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p w14:paraId="436DDE87" w14:textId="77777777" w:rsidR="00DF5571" w:rsidRDefault="0084739E"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4739E">
              <w:rPr>
                <w:rFonts w:ascii="Times New Roman" w:hAnsi="Times New Roman"/>
                <w:b/>
                <w:sz w:val="20"/>
                <w:szCs w:val="20"/>
              </w:rPr>
              <w:t>Kata Kunci</w:t>
            </w:r>
            <w:r w:rsidRPr="0084739E">
              <w:rPr>
                <w:rFonts w:ascii="Times New Roman" w:hAnsi="Times New Roman"/>
                <w:sz w:val="20"/>
                <w:szCs w:val="20"/>
              </w:rPr>
              <w:t>: asesmen formatif, pembelajaran matematika, persepsi guru, Sekolah Menengah Pertama, umpan balik.</w:t>
            </w:r>
          </w:p>
          <w:p w14:paraId="68FEABAB" w14:textId="77777777" w:rsidR="00DF5571" w:rsidRDefault="00DF55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DF5571" w14:paraId="1131074D" w14:textId="77777777" w:rsidTr="00DF5571">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14:paraId="3C962A84" w14:textId="77777777" w:rsidR="00DF5571" w:rsidRDefault="00DF5571">
            <w:pPr>
              <w:widowControl w:val="0"/>
              <w:pBdr>
                <w:top w:val="nil"/>
                <w:left w:val="nil"/>
                <w:bottom w:val="nil"/>
                <w:right w:val="nil"/>
                <w:between w:val="nil"/>
              </w:pBdr>
              <w:spacing w:line="276" w:lineRule="auto"/>
              <w:rPr>
                <w:rFonts w:ascii="Times New Roman" w:hAnsi="Times New Roman"/>
                <w:sz w:val="20"/>
                <w:szCs w:val="20"/>
              </w:rPr>
            </w:pPr>
          </w:p>
        </w:tc>
        <w:tc>
          <w:tcPr>
            <w:tcW w:w="6480" w:type="dxa"/>
            <w:tcBorders>
              <w:top w:val="single" w:sz="12" w:space="0" w:color="000000"/>
              <w:bottom w:val="single" w:sz="12" w:space="0" w:color="000000"/>
            </w:tcBorders>
            <w:shd w:val="clear" w:color="auto" w:fill="FFFFFF"/>
          </w:tcPr>
          <w:p w14:paraId="67E9D8DA" w14:textId="77777777" w:rsidR="00DF5571" w:rsidRDefault="00945F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ABSTRACT</w:t>
            </w:r>
          </w:p>
        </w:tc>
      </w:tr>
      <w:tr w:rsidR="00DF5571" w14:paraId="15414D2E" w14:textId="77777777" w:rsidTr="00DF5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14:paraId="20F1E23A" w14:textId="77777777" w:rsidR="00DF5571" w:rsidRDefault="00DF5571">
            <w:pPr>
              <w:widowControl w:val="0"/>
              <w:pBdr>
                <w:top w:val="nil"/>
                <w:left w:val="nil"/>
                <w:bottom w:val="nil"/>
                <w:right w:val="nil"/>
                <w:between w:val="nil"/>
              </w:pBdr>
              <w:spacing w:line="276" w:lineRule="auto"/>
              <w:rPr>
                <w:rFonts w:ascii="Times New Roman" w:hAnsi="Times New Roman"/>
                <w:sz w:val="20"/>
                <w:szCs w:val="20"/>
              </w:rPr>
            </w:pPr>
          </w:p>
        </w:tc>
        <w:tc>
          <w:tcPr>
            <w:tcW w:w="6480" w:type="dxa"/>
            <w:tcBorders>
              <w:top w:val="single" w:sz="12" w:space="0" w:color="000000"/>
              <w:bottom w:val="single" w:sz="12" w:space="0" w:color="000000"/>
            </w:tcBorders>
            <w:shd w:val="clear" w:color="auto" w:fill="FFFFFF"/>
          </w:tcPr>
          <w:p w14:paraId="7A8088F5" w14:textId="77777777" w:rsidR="0084739E" w:rsidRPr="0084739E" w:rsidRDefault="0084739E"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84739E">
              <w:rPr>
                <w:rFonts w:ascii="Times New Roman" w:hAnsi="Times New Roman"/>
                <w:i/>
                <w:sz w:val="20"/>
                <w:szCs w:val="20"/>
              </w:rPr>
              <w:t>This study aims to explore teachers' perceptions of the use of formative assessment in mathematics learning at the junior secondary school level. Formative assessment is considered an important tool that allows teachers to monitor students' learning progress, provide constructive feedback and adjust teaching strategies according to students' needs. Through a qualitative approach, data were collected from semi-structured interviews with three mathematics teachers from three junior high schools in Sampang. The results showed that teachers have a good understanding of the concept of formative assessment and use various methods to implement it, despite facing challenges such as time constraints and high workloads. Teachers reported that formative assessment has a positive influence on student participation and understanding. This study highlights the need for additional support and training for teachers to improve the effectiveness of formative assessment in mathematics learning, with the ultimate goal of improving student learning outcomes.</w:t>
            </w:r>
          </w:p>
          <w:p w14:paraId="3013208E" w14:textId="77777777" w:rsidR="0084739E" w:rsidRPr="0084739E" w:rsidRDefault="0084739E"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p w14:paraId="68D4C3AC" w14:textId="77777777" w:rsidR="0084739E" w:rsidRDefault="0084739E"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84739E">
              <w:rPr>
                <w:rFonts w:ascii="Times New Roman" w:hAnsi="Times New Roman"/>
                <w:b/>
                <w:i/>
                <w:sz w:val="20"/>
                <w:szCs w:val="20"/>
              </w:rPr>
              <w:t>Keywords</w:t>
            </w:r>
            <w:r w:rsidRPr="0084739E">
              <w:rPr>
                <w:rFonts w:ascii="Times New Roman" w:hAnsi="Times New Roman"/>
                <w:i/>
                <w:sz w:val="20"/>
                <w:szCs w:val="20"/>
              </w:rPr>
              <w:t>: formative assessment, mathematics learning, teacher perception, junior secondary school, feedback.</w:t>
            </w:r>
          </w:p>
          <w:p w14:paraId="45638064" w14:textId="77777777" w:rsidR="00DF5571" w:rsidRDefault="00DF5571" w:rsidP="008473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r>
      <w:tr w:rsidR="00DF5571" w14:paraId="4970EA1C" w14:textId="77777777" w:rsidTr="00DF5571">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14:paraId="053A90D1" w14:textId="77777777" w:rsidR="00DF5571" w:rsidRDefault="00DF5571">
            <w:pPr>
              <w:widowControl w:val="0"/>
              <w:pBdr>
                <w:top w:val="nil"/>
                <w:left w:val="nil"/>
                <w:bottom w:val="nil"/>
                <w:right w:val="nil"/>
                <w:between w:val="nil"/>
              </w:pBdr>
              <w:spacing w:line="276" w:lineRule="auto"/>
              <w:rPr>
                <w:rFonts w:ascii="Times New Roman" w:hAnsi="Times New Roman"/>
                <w:i/>
                <w:sz w:val="20"/>
                <w:szCs w:val="20"/>
              </w:rPr>
            </w:pPr>
          </w:p>
        </w:tc>
        <w:tc>
          <w:tcPr>
            <w:tcW w:w="6480" w:type="dxa"/>
            <w:tcBorders>
              <w:top w:val="single" w:sz="12" w:space="0" w:color="000000"/>
              <w:bottom w:val="single" w:sz="12" w:space="0" w:color="000000"/>
            </w:tcBorders>
            <w:shd w:val="clear" w:color="auto" w:fill="FFFFFF"/>
          </w:tcPr>
          <w:p w14:paraId="32D250C2" w14:textId="77777777" w:rsidR="00DF5571" w:rsidRDefault="00945FF6">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Pr>
                <w:rFonts w:ascii="Times New Roman" w:hAnsi="Times New Roman"/>
                <w:color w:val="000000"/>
                <w:sz w:val="18"/>
                <w:szCs w:val="18"/>
              </w:rPr>
              <w:t xml:space="preserve">This is an open access article under the </w:t>
            </w:r>
            <w:hyperlink r:id="rId9">
              <w:r>
                <w:rPr>
                  <w:rFonts w:ascii="Times New Roman" w:hAnsi="Times New Roman"/>
                  <w:color w:val="0563C1"/>
                  <w:sz w:val="18"/>
                  <w:szCs w:val="18"/>
                  <w:u w:val="single"/>
                </w:rPr>
                <w:t>CC-BY-SA</w:t>
              </w:r>
            </w:hyperlink>
            <w:r>
              <w:rPr>
                <w:rFonts w:ascii="Times New Roman" w:hAnsi="Times New Roman"/>
                <w:color w:val="000000"/>
                <w:sz w:val="18"/>
                <w:szCs w:val="18"/>
              </w:rPr>
              <w:t xml:space="preserve"> license </w:t>
            </w:r>
            <w:r>
              <w:rPr>
                <w:b/>
                <w:color w:val="000000"/>
                <w:sz w:val="18"/>
                <w:szCs w:val="18"/>
              </w:rPr>
              <w:t xml:space="preserve">  </w:t>
            </w:r>
            <w:r>
              <w:rPr>
                <w:b/>
                <w:noProof/>
                <w:sz w:val="20"/>
                <w:szCs w:val="20"/>
                <w:lang w:val="id-ID"/>
              </w:rPr>
              <w:drawing>
                <wp:inline distT="114300" distB="114300" distL="114300" distR="114300" wp14:anchorId="133C8F0D" wp14:editId="1548A56A">
                  <wp:extent cx="572453" cy="204042"/>
                  <wp:effectExtent l="0" t="0" r="0" b="0"/>
                  <wp:docPr id="1567005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2453" cy="204042"/>
                          </a:xfrm>
                          <a:prstGeom prst="rect">
                            <a:avLst/>
                          </a:prstGeom>
                          <a:ln/>
                        </pic:spPr>
                      </pic:pic>
                    </a:graphicData>
                  </a:graphic>
                </wp:inline>
              </w:drawing>
            </w:r>
          </w:p>
        </w:tc>
      </w:tr>
    </w:tbl>
    <w:p w14:paraId="0BD20087" w14:textId="77777777" w:rsidR="00DF5571" w:rsidRDefault="00DF5571">
      <w:pPr>
        <w:pBdr>
          <w:top w:val="nil"/>
          <w:left w:val="nil"/>
          <w:bottom w:val="nil"/>
          <w:right w:val="nil"/>
          <w:between w:val="nil"/>
        </w:pBdr>
        <w:spacing w:after="0" w:line="240" w:lineRule="auto"/>
        <w:jc w:val="both"/>
        <w:rPr>
          <w:b/>
          <w:color w:val="000000"/>
          <w:sz w:val="20"/>
          <w:szCs w:val="20"/>
        </w:rPr>
      </w:pPr>
    </w:p>
    <w:p w14:paraId="2BD44FE9" w14:textId="77777777" w:rsidR="00DF5571" w:rsidRDefault="00945FF6">
      <w:pPr>
        <w:pBdr>
          <w:top w:val="nil"/>
          <w:left w:val="nil"/>
          <w:bottom w:val="nil"/>
          <w:right w:val="nil"/>
          <w:between w:val="nil"/>
        </w:pBdr>
        <w:spacing w:before="480" w:after="0"/>
        <w:jc w:val="both"/>
        <w:rPr>
          <w:rFonts w:ascii="Times New Roman" w:hAnsi="Times New Roman"/>
          <w:b/>
          <w:color w:val="000000"/>
          <w:sz w:val="24"/>
          <w:szCs w:val="24"/>
        </w:rPr>
      </w:pPr>
      <w:r>
        <w:rPr>
          <w:rFonts w:ascii="Times New Roman" w:hAnsi="Times New Roman"/>
          <w:b/>
          <w:color w:val="000000"/>
          <w:sz w:val="24"/>
          <w:szCs w:val="24"/>
        </w:rPr>
        <w:lastRenderedPageBreak/>
        <w:t>Pendahuluan</w:t>
      </w:r>
    </w:p>
    <w:p w14:paraId="0B0A752A" w14:textId="77777777" w:rsidR="00B81E4D" w:rsidRPr="00B81E4D" w:rsidRDefault="00B81E4D" w:rsidP="00B81E4D">
      <w:pPr>
        <w:pBdr>
          <w:top w:val="nil"/>
          <w:left w:val="nil"/>
          <w:bottom w:val="nil"/>
          <w:right w:val="nil"/>
          <w:between w:val="nil"/>
        </w:pBdr>
        <w:spacing w:after="0"/>
        <w:ind w:firstLine="567"/>
        <w:jc w:val="both"/>
        <w:rPr>
          <w:rFonts w:ascii="Times New Roman" w:hAnsi="Times New Roman"/>
          <w:color w:val="000000"/>
          <w:sz w:val="24"/>
          <w:szCs w:val="24"/>
        </w:rPr>
      </w:pPr>
      <w:r w:rsidRPr="00B81E4D">
        <w:rPr>
          <w:rFonts w:ascii="Times New Roman" w:hAnsi="Times New Roman"/>
          <w:color w:val="000000"/>
          <w:sz w:val="24"/>
          <w:szCs w:val="24"/>
        </w:rPr>
        <w:t>Pembelajaran matematika di tingkat sekolah menengah pertama menjadi fondasi penting bagi pengembangan pemahaman konsep-konsep matematika yang lebih kompleks di tingkat yang lebih lanjut. Dalam upaya untuk meningkatkan pembelajaran matematika di tingkat ini, asesmen formatif menjadi sebuah alat yang sangat berharga. Asesmen formatif memungkinkan para guru untuk secara terus-menerus memantau kemajuan belajar siswa, memberikan umpan balik yang relevan dan bermanfaat, serta menyesuaikan strategi instruksional sesuai dengan kebutuhan individu siswa.</w:t>
      </w:r>
    </w:p>
    <w:p w14:paraId="2B3D85BB" w14:textId="77777777" w:rsidR="00B81E4D" w:rsidRDefault="00B81E4D" w:rsidP="00B81E4D">
      <w:pPr>
        <w:pBdr>
          <w:top w:val="nil"/>
          <w:left w:val="nil"/>
          <w:bottom w:val="nil"/>
          <w:right w:val="nil"/>
          <w:between w:val="nil"/>
        </w:pBdr>
        <w:spacing w:after="0"/>
        <w:ind w:firstLine="567"/>
        <w:jc w:val="both"/>
        <w:rPr>
          <w:rFonts w:ascii="Times New Roman" w:hAnsi="Times New Roman"/>
          <w:color w:val="000000"/>
          <w:sz w:val="24"/>
          <w:szCs w:val="24"/>
        </w:rPr>
      </w:pPr>
      <w:r w:rsidRPr="00B81E4D">
        <w:rPr>
          <w:rFonts w:ascii="Times New Roman" w:hAnsi="Times New Roman"/>
          <w:color w:val="000000"/>
          <w:sz w:val="24"/>
          <w:szCs w:val="24"/>
        </w:rPr>
        <w:t>Beberapa kesulitan mungkin timbul dalam melaksanakan evaluasi formatif. Seperti yang diakui oleh sebagian besar administrator program, pengambil keputusan mungkin terhambat oleh informasi yang tidak memadai dan tidak tepat sebagai dasar penilaian. Sayangnya, defisit informasi kemungkinan besar terjadi pada tahap awal pengembangan program, yaitu saat program paling mudah diubah dan informasi harus berguna. Selain itu, bahkan ketika informasi tersedia, pengambil keputusan mungkin enggan mengubah arah suatu program tanpa adanya jaminan bahwa modifikasi tersebut benar-benar akan memperbaiki program tersebut</w:t>
      </w:r>
      <w:r>
        <w:rPr>
          <w:rFonts w:ascii="Times New Roman" w:hAnsi="Times New Roman"/>
          <w:color w:val="000000"/>
          <w:sz w:val="24"/>
          <w:szCs w:val="24"/>
        </w:rPr>
        <w:t xml:space="preserve">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{"citationItems":[{"id":"ITEM-1","itemData":{"DOI":"10.1080/1358165750010212","ISSN":"02607417","abstract":"‘It's incumbent on all who talk about Educational Technology’, said Mr. Morris, ‘to start by defining what it is.’ But there is no need to describe something in detail if it is recognisable. © 1975, Taylor &amp; Francis Group, LLC. All rights reserved.","author":[{"dropping-particle":"","family":"Morris","given":"J. G.","non-dropping-particle":"","parse-names":false,"suffix":""}],"container-title":"Journal of Educational Television","id":"ITEM-1","issue":"2","issued":{"date-parts":[["2022"]]},"page":"26-27","title":"Uses of Educational Technology for Formative Evaluation","type":"article-journal","volume":"1"},"uris":["http://www.mendeley.com/documents/?uuid=1a0a07ba-affe-4091-8a39-03705dcf4c1c"]}],"mendeley":{"formattedCitation":"(Morris, 2022)","plainTextFormattedCitation":"(Morris, 2022)","previouslyFormattedCitation":"(Morris, 2022)"},"properties":{"noteIndex":0},"schema":"https://github.com/citation-style-language/schema/raw/master/csl-citation.json"}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(Morris, 2022)</w:t>
      </w:r>
      <w:r w:rsidRPr="00B81E4D">
        <w:rPr>
          <w:rFonts w:ascii="Times New Roman" w:hAnsi="Times New Roman"/>
          <w:color w:val="000000"/>
          <w:sz w:val="24"/>
          <w:szCs w:val="24"/>
        </w:rPr>
        <w:fldChar w:fldCharType="end"/>
      </w:r>
      <w:r>
        <w:rPr>
          <w:rFonts w:ascii="Times New Roman" w:hAnsi="Times New Roman"/>
          <w:color w:val="000000"/>
          <w:sz w:val="24"/>
          <w:szCs w:val="24"/>
        </w:rPr>
        <w:t>.</w:t>
      </w:r>
    </w:p>
    <w:p w14:paraId="7240169F" w14:textId="77777777" w:rsidR="00B81E4D" w:rsidRPr="00B81E4D" w:rsidRDefault="00B81E4D" w:rsidP="00B81E4D">
      <w:pPr>
        <w:pBdr>
          <w:top w:val="nil"/>
          <w:left w:val="nil"/>
          <w:bottom w:val="nil"/>
          <w:right w:val="nil"/>
          <w:between w:val="nil"/>
        </w:pBdr>
        <w:spacing w:after="0"/>
        <w:ind w:firstLine="567"/>
        <w:jc w:val="both"/>
        <w:rPr>
          <w:rFonts w:ascii="Times New Roman" w:hAnsi="Times New Roman"/>
          <w:color w:val="000000"/>
          <w:sz w:val="24"/>
          <w:szCs w:val="24"/>
        </w:rPr>
      </w:pPr>
      <w:r w:rsidRPr="00B81E4D">
        <w:rPr>
          <w:rFonts w:ascii="Times New Roman" w:hAnsi="Times New Roman"/>
          <w:color w:val="000000"/>
          <w:sz w:val="24"/>
          <w:szCs w:val="24"/>
        </w:rPr>
        <w:t xml:space="preserve">Penilaian formatif diperlukan untuk memfasilitasi pembelajaran siswa di seluruh dunia. Terdapat bukti yang memadai bahwa penilaian formatif merupakan bagian integral dari pengajaran yang bertujuan untuk meningkatkan hasil belajar siswa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{"citationItems":[{"id":"ITEM-1","itemData":{"ISSN":"1930-9325","abstract":"Students learning outcomes are bound to improve if the practice of formative assessment is seen as a vital component of the School Based Assessment in the classroom. In the classroom, formative assessment plays a critical role as it provides information to be used as feedback to adjust the teaching and learning activities in which students and teachers are engaged. The study investigated public basic schoolteachers' perceptions and formative assessment practices in the Cape Coast Metropolis of Ghana. The study employed the descriptive survey as well as the multistage sampling procedure to select 300 teachers from the six (6) circuits in the Cape Coast Metropolis. Data were analyzed using frequencies, percentages, means, standard deviations, and Pearson product-moment correlation coefficient. The results showed that basic schoolteachers have positive perceptions of the usefulness of formative assessment in the classroom. It was also revealed that dominant practices that basic school teachers usually engaged in included ensuring effective class participation, discussing feedback with students, use of question and answer during instruction, making formative use of summative assessments, giving students home assignments, and engaging students in activities like role play. Results further indicated a statistically significant positive relationship between basic teachers' perceptions and their formative assessment practices. It is recommended that, short-term courses, workshops, seminars and, other necessary in-service training activities should be organized by the Ghana Education Service (GES) and the Cape Coast Metropolitan Directorate of Education for basic schoolteachers. In these courses, teachers could be exposed to other formative assessment curriculum and application practices, which they can then adopt to enhance students learning with exit/admit slips, four corners, individual whiteboards and kinesthetic assessments.","author":[{"dropping-particle":"","family":"Asare","given":"Eric","non-dropping-particle":"","parse-names":false,"suffix":""}],"container-title":"Jaepr","id":"ITEM-1","issue":"1","issued":{"date-parts":[["2020"]]},"page":"177-187","title":"Basic teachers' perceptions and practices of formative assessment in the cape coast metropolis of ghana","type":"article-journal","volume":"5"},"uris":["http://www.mendeley.com/documents/?uuid=7c358af1-dadb-4ac2-9629-9f153d8a4bb7"]},{"id":"ITEM-2","itemData":{"DOI":"10.5539/elt.v14n7p107","ISSN":"1916-4742","abstract":"Formative assessment has received considerable attention among scholars around the world. In Saudi Arabia, formative assessment is perceived as a promising opportunity for improving learning outcomes. The review of literature presents formative assessment as a serious issue that can affect students&amp;rsquo; outcomes. In particular, teachers&amp;rsquo; perception is an important factor that determines their willingness to apply specific assessment strategies in class. According to the findings, formative assessment leads to positive student outcomes. Importantly, the overall perception towards formative is multi-factored. As such, a single factor cannot be blamed for teachers&amp;rsquo; perception and attitude outcomes. Notably, teacher&amp;rsquo; experience, education level, and other factors define their perception towards formative assessment. As such, any efforts to influence their perspective will have a significant positive outcome on their willingness to apply formative assessment. However, a further study is needed to quantify the significance of teachers&amp;rsquo; perception in influencing their decision to apply formative or summative assessment.&amp;nbsp;","author":[{"dropping-particle":"","family":"Alsubaiai","given":"Hanan Sarhan Megaad","non-dropping-particle":"","parse-names":false,"suffix":""}],"container-title":"English Language Teaching","id":"ITEM-2","issue":"7","issued":{"date-parts":[["2021"]]},"page":"107","title":"Teachers’ Perception towards Formative Assessment in Saudi Universities’ Context: A Review of Literature","type":"article-journal","volume":"14"},"uris":["http://www.mendeley.com/documents/?uuid=bcef0a8c-ccc1-4f9f-89a3-d3ce6f4c5d90"]},{"id":"ITEM-3","itemData":{"author":[{"dropping-particle":"","family":"Karim","given":"Barzan Hadi Hama","non-dropping-particle":"","parse-names":false,"suffix":""}],"container-title":"International Journal of Humanities Social Sciences and Evaluation (IJHSSE)","id":"ITEM-3","issue":"3","issued":{"date-parts":[["2015"]]},"page":"108-115","title":"International Journal of Humanities Social Sciences and Education ( IJHSSE ) The Impact of Teachers ’ Beliefs and Perceptions about Formative Assessment in the University ESL Class","type":"article-journal","volume":"2"},"uris":["http://www.mendeley.com/documents/?uuid=e71c5b68-956a-4213-9ddd-8e97621957de"]}],"mendeley":{"formattedCitation":"(Alsubaiai, 2021; Asare, 2020; Karim, 2015)","plainTextFormattedCitation":"(Alsubaiai, 2021; Asare, 2020; Karim, 2015)","previouslyFormattedCitation":"(Alsubaiai, 2021; Asare, 2020; Karim, 2015)"},"properties":{"noteIndex":0},"schema":"https://github.com/citation-style-language/schema/raw/master/csl-citation.json"}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(Alsubaiai, 2021; Asare, 2020; Karim, 2015)</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xml:space="preserve">. Namun, penelitian menunjukkan bahwa hanya sedikit guru yang memahami pentingnya penilaian formatif dalam meningkatkan hasil belajar mengajar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{"citationItems":[{"id":"ITEM-1","itemData":{"DOI":"10.20533/licej.2040.2589.2014.0234","abstract":"To understand the behavior of learning and teachers overall development, students always play an active role. With the help of students, overall assessment of the classroom can be judged. So Questions represent a major technique used by teachers to assess their students. Questions in the classroom can be student-teacher interaction, teachers questioning for learning or for assessment purpose. This form of assessment does not require the creation of tests or additional materials or resources. Neither does it necessarily require additional time. During classroom interaction, teachers use different types of questioning methodologies. Questions can be asked either through open questions or close questions. For this paper, data was collected at the end of the semester. Data was collected mainly by Class observation schemes which were conducted through observing student-teacher interactions for their overall development.","author":[{"dropping-particle":"","family":"Alotabi","given":"Khalid Abdullah","non-dropping-particle":"","parse-names":false,"suffix":""}],"container-title":"Literacy Information and Computer Education Journal","id":"ITEM-1","issue":"1","issued":{"date-parts":[["2014"]]},"page":"1758-1763","title":"Student Assessment Strategies in Saudi Arabia: A Case Study of Pre and Post Classroom Practices","type":"article-journal","volume":"Special 3"},"uris":["http://www.mendeley.com/documents/?uuid=6e1d1d27-498e-41b5-a8cd-e3fc41e1654e"]},{"id":"ITEM-2","itemData":{"DOI":"10.1080/03055698.2011.598684","ISSN":"03055698","abstract":"Research conducted within the past decade contributes much to an understanding of the role and potential value of formative assessment in learning. As an Advisory Teacher within a local authority, the researcher was interested to find out how teachers actually perceive formative assessment. This study therefore set out to investigate the range and nature of such perceptions and whether any relationships exist between them and independent variables such as school phase and length of teacher experience. The sample was drawn from teachers working in 24 lower and middle schools within one local authority and the research was conducted in two phases. This paper will focus on Phase 1, during which data was drawn from a questionnaire survey which elicited both quantitative and qualitative responses from 67 teachers. Analysis of this data revealed a range of perceptions about formative assessment among teachers. In particular, they acknowledged the value of formative assessment in promoting learning. However, these findings suggest that perhaps teachers were less confident than they claimed to be in putting actual strategies in place, supporting the findings of Black, Harrison, Lee, Marshall, and Wiliam (2002). Statistical analysis revealed some significant relationships between some of these perceptions and both school phase and length of teacher experience. Both theoretical and practical implications of these findings are discussed and recommendations made for future policy and practice. © 2012 Copyright Taylor and Francis Group, LLC.","author":[{"dropping-particle":"","family":"Sach","given":"Elizabeth","non-dropping-particle":"","parse-names":false,"suffix":""}],"container-title":"Educational Studies","id":"ITEM-2","issue":"3","issued":{"date-parts":[["2012"]]},"page":"261-276","title":"Teachers and testing: An investigation into teachers' perceptions of formative assessment","type":"article-journal","volume":"38"},"uris":["http://www.mendeley.com/documents/?uuid=38b295fc-67b3-4788-bea5-970ef2a5bdaf"]},{"id":"ITEM-3","itemData":{"author":[{"dropping-particle":"","family":"Karim","given":"Barzan Hadi Hama","non-dropping-particle":"","parse-names":false,"suffix":""}],"container-title":"International Journal of Humanities Social Sciences and Evaluation (IJHSSE)","id":"ITEM-3","issue":"3","issued":{"date-parts":[["2015"]]},"page":"108-115","title":"International Journal of Humanities Social Sciences and Education ( IJHSSE ) The Impact of Teachers ’ Beliefs and Perceptions about Formative Assessment in the University ESL Class","type":"article-journal","volume":"2"},"uris":["http://www.mendeley.com/documents/?uuid=e71c5b68-956a-4213-9ddd-8e97621957de"]}],"mendeley":{"formattedCitation":"(Alotabi, 2014; Karim, 2015; Sach, 2012)","plainTextFormattedCitation":"(Alotabi, 2014; Karim, 2015; Sach, 2012)","previouslyFormattedCitation":"(Alotabi, 2014; Karim, 2015; Sach, 2012)"},"properties":{"noteIndex":0},"schema":"https://github.com/citation-style-language/schema/raw/master/csl-citation.json"}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(Alotabi, 2014; Karim, 2015; Sach, 2012)</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xml:space="preserve">.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{"citationItems":[{"id":"ITEM-1","itemData":{"author":[{"dropping-particle":"","family":"Karim","given":"Barzan Hadi Hama","non-dropping-particle":"","parse-names":false,"suffix":""}],"container-title":"International Journal of Humanities Social Sciences and Evaluation (IJHSSE)","id":"ITEM-1","issue":"3","issued":{"date-parts":[["2015"]]},"page":"108-115","title":"International Journal of Humanities Social Sciences and Education ( IJHSSE ) The Impact of Teachers ’ Beliefs and Perceptions about Formative Assessment in the University ESL Class","type":"article-journal","volume":"2"},"uris":["http://www.mendeley.com/documents/?uuid=e71c5b68-956a-4213-9ddd-8e97621957de"]}],"mendeley":{"formattedCitation":"(Karim, 2015)","manualFormatting":"Karim (2015)","plainTextFormattedCitation":"(Karim, 2015)","previouslyFormattedCitation":"(Karim, 2015)"},"properties":{"noteIndex":0},"schema":"https://github.com/citation-style-language/schema/raw/master/csl-citation.json"}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Karim (2015)</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xml:space="preserve"> menekankan perlunya guru memahami dan mengadopsi praktik penilaian kelas yang baik..</w:t>
      </w:r>
    </w:p>
    <w:p w14:paraId="1FB0BABD" w14:textId="77777777" w:rsidR="00B81E4D" w:rsidRPr="00B81E4D" w:rsidRDefault="00B81E4D" w:rsidP="00B81E4D">
      <w:pPr>
        <w:pBdr>
          <w:top w:val="nil"/>
          <w:left w:val="nil"/>
          <w:bottom w:val="nil"/>
          <w:right w:val="nil"/>
          <w:between w:val="nil"/>
        </w:pBdr>
        <w:spacing w:after="0"/>
        <w:ind w:firstLine="567"/>
        <w:jc w:val="both"/>
        <w:rPr>
          <w:rFonts w:ascii="Times New Roman" w:hAnsi="Times New Roman"/>
          <w:color w:val="000000"/>
          <w:sz w:val="24"/>
          <w:szCs w:val="24"/>
        </w:rPr>
      </w:pPr>
      <w:r w:rsidRPr="00B81E4D">
        <w:rPr>
          <w:rFonts w:ascii="Times New Roman" w:hAnsi="Times New Roman"/>
          <w:color w:val="000000"/>
          <w:sz w:val="24"/>
          <w:szCs w:val="24"/>
        </w:rPr>
        <w:t xml:space="preserve">Penilaian formatif dirancang dengan maksud untuk memahami pelajar dan menggunakan pemahaman ini untuk memberikan instruksi yang spesifik, namun tanpa fokus pada peringkat atau pengelompokan kemampuan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{"citationItems":[{"id":"ITEM-1","itemData":{"DOI":"10.1007/s10643-021-01281-3","ISBN":"0123456789","ISSN":"15731707","abstract":"The purpose of this basic, exploratory study is to examine primary grades (K-2) teachers’ perceptions of the self-efficacy of their students in mathematics, whether or not there is a difference in the self-efficacy between students based on their performance, and to gather information about how teachers are differentiating instruction. Forty teachers completed an online open-ended survey. Data from responses was analyzed through a constant comparative process in order to answer the research questions. Teachers indicated that advanced students generally have a higher mathematical self-efficacy than their peers, therefore possibly influencing advanced students’ potential for higher academic achievement in mathematics. Additionally, many teachers reported using small groups and manipulatives as vehicles to differentiate instruction. However, the convenience sample and data collected warrants further studies to more closely examine the interaction between students’ self-efficacy, teachers’ differentiation, and student achievement.","author":[{"dropping-particle":"","family":"McNeill","given":"Hayley","non-dropping-particle":"","parse-names":false,"suffix":""},{"dropping-particle":"","family":"Polly","given":"Drew","non-dropping-particle":"","parse-names":false,"suffix":""}],"container-title":"Early Childhood Education Journal","id":"ITEM-1","issue":"1","issued":{"date-parts":[["2023"]]},"page":"79-88","publisher":"Springer Netherlands","title":"Exploring Primary Grades Teachers’ Perceptions of Their Students’ Mathematics Self-Efficacy and How They Differentiate Instruction","type":"article-journal","volume":"51"},"uris":["http://www.mendeley.com/documents/?uuid=52ed99ec-1706-413b-bf29-86cfb6a90a86"]}],"mendeley":{"formattedCitation":"(McNeill &amp; Polly, 2023)","plainTextFormattedCitation":"(McNeill &amp; Polly, 2023)","previouslyFormattedCitation":"(McNeill &amp; Polly, 2023)"},"properties":{"noteIndex":0},"schema":"https://github.com/citation-style-language/schema/raw/master/csl-citation.json"}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(McNeill &amp; Polly, 2023)</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xml:space="preserve">.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{"citationItems":[{"id":"ITEM-1","itemData":{"DOI":"10.1080/0969595980050102","ISBN":"0969595980","ISSN":"15497879","abstract":"This article is a review of the literature on classroom formative assessment. Several studies show firm evidence that innovations designed to strengthen the frequent feedback that students receive about their learning yield substantial learning gains. The perceptions of students and their role in self-assessment are considered alongside analysis of the strategies used by teachers and the formative strategies incorporated in such systemic approaches as mastery learning. There follows a more detailed and theoretical analysis of the nature of feedback, which provides a basis for a discussion of the development of theoretical models for formative assessment and of the prospects for the improvement of practice. © 1998, Copyright Taylor &amp; Francis Group, LLC.","author":[{"dropping-particle":"","family":"Black","given":"Paul","non-dropping-particle":"","parse-names":false,"suffix":""},{"dropping-particle":"","family":"Wiliam","given":"Dylan","non-dropping-particle":"","parse-names":false,"suffix":""}],"container-title":"International Journal of Phytoremediation","id":"ITEM-1","issue":"1","issued":{"date-parts":[["1998"]]},"number-of-pages":"7-74","title":"Assessment and classroom learning","type":"book","volume":"21"},"uris":["http://www.mendeley.com/documents/?uuid=a3a2cd63-ba06-4f8b-9e7f-d6eca82dc1cb"]}],"mendeley":{"formattedCitation":"(Black &amp; Wiliam, 1998)","manualFormatting":"Black &amp; Wiliam (1998)","plainTextFormattedCitation":"(Black &amp; Wiliam, 1998)","previouslyFormattedCitation":"(Black &amp; Wiliam, 1998)"},"properties":{"noteIndex":0},"schema":"https://github.com/citation-style-language/schema/raw/master/csl-citation.json"}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Black &amp; Wiliam (1998)</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xml:space="preserve"> menyoroti bahwa penggunaan penilaian formatif yang tepat adalah ketika desain dan penggunaannya berujung pada pembelajaran siswa. Praktik penilaian formatif yang efektif mencakup peluang untuk menggunakan umpan balik, memperluas pemikiran, mengungkapkan alasan, menciptakan tujuan, dan terlibat dalam penilaian rekan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{"citationItems":[{"id":"ITEM-1","itemData":{"abstract":"T HIS IS A STORY about a remarkable school, a school that has been labeled \" underperforming \" by the state of California. It is a true story, and it draws on a combination of research da-ta, collected as part of a Stanford University research project on mathematics learning, and the lived realities of teachers and students working hard to achieve success in a low-income, ur-ban school. At the heart of this story lies the conflict between learning and SAT-9 success, a conflict that has affected the lives of students and teachers in this school in profound ways. As a new professor at Stanford University, recently arrived from England, I was considering schools to include in a study of mathematics teaching and learning. I soon learned that a school that I'll refer to here as Railside High had a mathematics department that worked in very unusual ways. Some years ago the teachers \" de-tracked \" their classes in response to the low performance of some students. The math-ematics department plans lessons collaboratively, and the teachers meet every week to discuss and improve their lessons. They visit one another's classes frequently, and every new teacher is given the opportunity to watch every lesson that he or she will teach being taught by an experienced colleague first. The algebra curriculum that all students take on entry to the school was designed by the department, and it draws","author":[{"dropping-particle":"","family":"Black","given":"","non-dropping-particle":"","parse-names":false,"suffix":""},{"dropping-particle":"","family":"William","given":"","non-dropping-particle":"","parse-names":false,"suffix":""}],"id":"ITEM-1","issued":{"date-parts":[["2004"]]},"title":"Assessment for Learning in the Classroom","type":"article-journal"},"uris":["http://www.mendeley.com/documents/?uuid=76cff051-f222-4d32-8145-8b88978bb304"]},{"id":"ITEM-2","itemData":{"author":[{"dropping-particle":"","family":"Huinker","given":"D","non-dropping-particle":"","parse-names":false,"suffix":""},{"dropping-particle":"","family":"Freckmann","given":"J","non-dropping-particle":"","parse-names":false,"suffix":""}],"container-title":"Wisconsin Teacher of Mathematicvs","id":"ITEM-2","issued":{"date-parts":[["2009"]]},"page":"6-11","title":"Linking principles of formative assessment to classroom practice","type":"article-journal","volume":"60"},"uris":["http://www.mendeley.com/documents/?uuid=eadc89d1-ecf9-45df-9f15-1fe0b892654d"]},{"id":"ITEM-3","itemData":{"abstract":"A. Latar Belakang Peningkatan dan pemerataan mutu pendidikan menjadi tantangan utama dalam pembangunan pendidikan di Indonesia. Untuk mengatasi tantangan ini, sejak 2009 Pemerintah telah memenuhi kewajiban anggaran pendidikan sebesar 20% APBN serta terus meningkatkan anggaran pendidikan dari Rp 332,4 T pada 2013, menjadi Rp 550 T pada 2021 (kemenkeu. go.id, 2021). Peningkatan anggaran tersebut telah berkontribusi positif pada perbaikan tingkat pendidikan dan kesejahteraan guru, penurunan ukuran kelas (rasio guru-siswa), serta perbaikan sarana dan prasarana di satuan pendidikan (Beatty et.al, 2021; Muttaqin, 2018).","author":[{"dropping-particle":"","family":"McTighe","given":"Jay","non-dropping-particle":"","parse-names":false,"suffix":""},{"dropping-particle":"","family":"Wiggins","given":"Grant","non-dropping-particle":"","parse-names":false,"suffix":""},{"dropping-particle":"","family":"Warso","given":"Agus Wasisto Dwi Doso","non-dropping-particle":"","parse-names":false,"suffix":""},{"dropping-particle":"","family":"Zahroh","given":"Shofi Hikmatuz","non-dropping-particle":"","parse-names":false,"suffix":""},{"dropping-particle":"","family":"Parno","given":"","non-dropping-particle":"","parse-names":false,"suffix":""},{"dropping-particle":"","family":"Mufti","given":"Nandang","non-dropping-particle":"","parse-names":false,"suffix":""},{"dropping-particle":"","family":"Anggraena","given":"Yogi","non-dropping-particle":"","parse-names":false,"suffix":""}],"container-title":"Badan Standar, Kurikulum, Dan Asesmen Pendidikan Kementerian Pendidikan, Kebudayaan, Riset, Dan Teknologi Republik Indonesia","id":"ITEM-3","issued":{"date-parts":[["2017"]]},"page":"123","title":"Panduan Pembelajaran dan Asesmen","type":"article-journal"},"uris":["http://www.mendeley.com/documents/?uuid=1af723f1-33bd-4846-b21e-6f92c3286228"]},{"id":"ITEM-4","itemData":{"DOI":"10.1007/s10643-021-01281-3","ISBN":"0123456789","ISSN":"15731707","abstract":"The purpose of this basic, exploratory study is to examine primary grades (K-2) teachers’ perceptions of the self-efficacy of their students in mathematics, whether or not there is a difference in the self-efficacy between students based on their performance, and to gather information about how teachers are differentiating instruction. Forty teachers completed an online open-ended survey. Data from responses was analyzed through a constant comparative process in order to answer the research questions. Teachers indicated that advanced students generally have a higher mathematical self-efficacy than their peers, therefore possibly influencing advanced students’ potential for higher academic achievement in mathematics. Additionally, many teachers reported using small groups and manipulatives as vehicles to differentiate instruction. However, the convenience sample and data collected warrants further studies to more closely examine the interaction between students’ self-efficacy, teachers’ differentiation, and student achievement.","author":[{"dropping-particle":"","family":"McNeill","given":"Hayley","non-dropping-particle":"","parse-names":false,"suffix":""},{"dropping-particle":"","family":"Polly","given":"Drew","non-dropping-particle":"","parse-names":false,"suffix":""}],"container-title":"Early Childhood Education Journal","id":"ITEM-4","issue":"1","issued":{"date-parts":[["2023"]]},"page":"79-88","publisher":"Springer Netherlands","title":"Exploring Primary Grades Teachers’ Perceptions of Their Students’ Mathematics Self-Efficacy and How They Differentiate Instruction","type":"article-journal","volume":"51"},"uris":["http://www.mendeley.com/documents/?uuid=52ed99ec-1706-413b-bf29-86cfb6a90a86"]}],"mendeley":{"formattedCitation":"(Black &amp; William, 2004; Huinker &amp; Freckmann, 2009; McNeill &amp; Polly, 2023; McTighe et al., 2017)","plainTextFormattedCitation":"(Black &amp; William, 2004; Huinker &amp; Freckmann, 2009; McNeill &amp; Polly, 2023; McTighe et al., 2017)","previouslyFormattedCitation":"(Black &amp; William, 2004; Huinker &amp; Freckmann, 2009; McNeill &amp; Polly, 2023; McTighe et al., 2017)"},"properties":{"noteIndex":0},"schema":"https://github.com/citation-style-language/schema/raw/master/csl-citation.json"}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(Black &amp; William, 2004; Huinker &amp; Freckmann, 2009; McNeill &amp; Polly, 2023; McTighe et al., 2017)</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Penilaian atau asesmen formatif bertujuan untuk memantau dan memperbaiki proses pembelajaran, serta mengevaluasi pencapaian tujuan pembelajaran</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{"citationItems":[{"id":"ITEM-1","itemData":{"abstract":"A. Latar Belakang Peningkatan dan pemerataan mutu pendidikan menjadi tantangan utama dalam pembangunan pendidikan di Indonesia. Untuk mengatasi tantangan ini, sejak 2009 Pemerintah telah memenuhi kewajiban anggaran pendidikan sebesar 20% APBN serta terus meningkatkan anggaran pendidikan dari Rp 332,4 T pada 2013, menjadi Rp 550 T pada 2021 (kemenkeu. go.id, 2021). Peningkatan anggaran tersebut telah berkontribusi positif pada perbaikan tingkat pendidikan dan kesejahteraan guru, penurunan ukuran kelas (rasio guru-siswa), serta perbaikan sarana dan prasarana di satuan pendidikan (Beatty et.al, 2021; Muttaqin, 2018).","author":[{"dropping-particle":"","family":"McTighe","given":"Jay","non-dropping-particle":"","parse-names":false,"suffix":""},{"dropping-particle":"","family":"Wiggins","given":"Grant","non-dropping-particle":"","parse-names":false,"suffix":""},{"dropping-particle":"","family":"Warso","given":"Agus Wasisto Dwi Doso","non-dropping-particle":"","parse-names":false,"suffix":""},{"dropping-particle":"","family":"Zahroh","given":"Shofi Hikmatuz","non-dropping-particle":"","parse-names":false,"suffix":""},{"dropping-particle":"","family":"Parno","given":"","non-dropping-particle":"","parse-names":false,"suffix":""},{"dropping-particle":"","family":"Mufti","given":"Nandang","non-dropping-particle":"","parse-names":false,"suffix":""},{"dropping-particle":"","family":"Anggraena","given":"Yogi","non-dropping-particle":"","parse-names":false,"suffix":""}],"container-title":"Badan Standar, Kurikulum, Dan Asesmen Pendidikan Kementerian Pendidikan, Kebudayaan, Riset, Dan Teknologi Republik Indonesia","id":"ITEM-1","issued":{"date-parts":[["2017"]]},"page":"123","title":"Panduan Pembelajaran dan Asesmen","type":"article-journal"},"uris":["http://www.mendeley.com/documents/?uuid=1af723f1-33bd-4846-b21e-6f92c3286228"]}],"mendeley":{"formattedCitation":"(McTighe et al., 2017)","plainTextFormattedCitation":"(McTighe et al., 2017)","previouslyFormattedCitation":"(McTighe et al., 2017)"},"properties":{"noteIndex":0},"schema":"https://github.com/citation-style-language/schema/raw/master/csl-citation.json"}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(McTighe et al., 2017)</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 xml:space="preserve">. Asesmen ini dilakukan untuk mengidentifikasi kebutuhan belajar peserta didik, hambatan atau kesulitan yang mereka hadapi, dan juga untuk mendapatkan informasi perkembangan peserta didik. Informasi tersebut merupakan umpan balik bagi peserta didik dan juga pendidik </w:t>
      </w:r>
      <w:r w:rsidRPr="00B81E4D">
        <w:rPr>
          <w:rFonts w:ascii="Times New Roman" w:hAnsi="Times New Roman"/>
          <w:color w:val="000000"/>
          <w:sz w:val="24"/>
          <w:szCs w:val="24"/>
        </w:rPr>
        <w:fldChar w:fldCharType="begin" w:fldLock="1"/>
      </w:r>
      <w:r w:rsidRPr="00B81E4D">
        <w:rPr>
          <w:rFonts w:ascii="Times New Roman" w:hAnsi="Times New Roman"/>
          <w:color w:val="000000"/>
          <w:sz w:val="24"/>
          <w:szCs w:val="24"/>
        </w:rPr>
        <w:instrText>ADDIN CSL_CITATION {"citationItems":[{"id":"ITEM-1","itemData":{"abstract":"A. Latar Belakang Peningkatan dan pemerataan mutu pendidikan menjadi tantangan utama dalam pembangunan pendidikan di Indonesia. Untuk mengatasi tantangan ini, sejak 2009 Pemerintah telah memenuhi kewajiban anggaran pendidikan sebesar 20% APBN serta terus meningkatkan anggaran pendidikan dari Rp 332,4 T pada 2013, menjadi Rp 550 T pada 2021 (kemenkeu. go.id, 2021). Peningkatan anggaran tersebut telah berkontribusi positif pada perbaikan tingkat pendidikan dan kesejahteraan guru, penurunan ukuran kelas (rasio guru-siswa), serta perbaikan sarana dan prasarana di satuan pendidikan (Beatty et.al, 2021; Muttaqin, 2018).","author":[{"dropping-particle":"","family":"McTighe","given":"Jay","non-dropping-particle":"","parse-names":false,"suffix":""},{"dropping-particle":"","family":"Wiggins","given":"Grant","non-dropping-particle":"","parse-names":false,"suffix":""},{"dropping-particle":"","family":"Warso","given":"Agus Wasisto Dwi Doso","non-dropping-particle":"","parse-names":false,"suffix":""},{"dropping-particle":"","family":"Zahroh","given":"Shofi Hikmatuz","non-dropping-particle":"","parse-names":false,"suffix":""},{"dropping-particle":"","family":"Parno","given":"","non-dropping-particle":"","parse-names":false,"suffix":""},{"dropping-particle":"","family":"Mufti","given":"Nandang","non-dropping-particle":"","parse-names":false,"suffix":""},{"dropping-particle":"","family":"Anggraena","given":"Yogi","non-dropping-particle":"","parse-names":false,"suffix":""}],"container-title":"Badan Standar, Kurikulum, Dan Asesmen Pendidikan Kementerian Pendidikan, Kebudayaan, Riset, Dan Teknologi Republik Indonesia","id":"ITEM-1","issued":{"date-parts":[["2017"]]},"page":"123","title":"Panduan Pembelajaran dan Asesmen","type":"article-journal"},"uris":["http://www.mendeley.com/documents/?uuid=1af723f1-33bd-4846-b21e-6f92c3286228"]}],"mendeley":{"formattedCitation":"(McTighe et al., 2017)","plainTextFormattedCitation":"(McTighe et al., 2017)","previouslyFormattedCitation":"(McTighe et al., 2017)"},"properties":{"noteIndex":0},"schema":"https://github.com/citation-style-language/schema/raw/master/csl-citation.json"}</w:instrText>
      </w:r>
      <w:r w:rsidRPr="00B81E4D">
        <w:rPr>
          <w:rFonts w:ascii="Times New Roman" w:hAnsi="Times New Roman"/>
          <w:color w:val="000000"/>
          <w:sz w:val="24"/>
          <w:szCs w:val="24"/>
        </w:rPr>
        <w:fldChar w:fldCharType="separate"/>
      </w:r>
      <w:r w:rsidRPr="00B81E4D">
        <w:rPr>
          <w:rFonts w:ascii="Times New Roman" w:hAnsi="Times New Roman"/>
          <w:color w:val="000000"/>
          <w:sz w:val="24"/>
          <w:szCs w:val="24"/>
        </w:rPr>
        <w:t>(McTighe et al., 2017)</w:t>
      </w:r>
      <w:r w:rsidRPr="00B81E4D">
        <w:rPr>
          <w:rFonts w:ascii="Times New Roman" w:hAnsi="Times New Roman"/>
          <w:color w:val="000000"/>
          <w:sz w:val="24"/>
          <w:szCs w:val="24"/>
        </w:rPr>
        <w:fldChar w:fldCharType="end"/>
      </w:r>
      <w:r w:rsidRPr="00B81E4D">
        <w:rPr>
          <w:rFonts w:ascii="Times New Roman" w:hAnsi="Times New Roman"/>
          <w:color w:val="000000"/>
          <w:sz w:val="24"/>
          <w:szCs w:val="24"/>
        </w:rPr>
        <w:t>.</w:t>
      </w:r>
    </w:p>
    <w:p w14:paraId="59F8AA91" w14:textId="77777777" w:rsidR="00B81E4D" w:rsidRDefault="00B81E4D" w:rsidP="00B81E4D">
      <w:pPr>
        <w:pBdr>
          <w:top w:val="nil"/>
          <w:left w:val="nil"/>
          <w:bottom w:val="nil"/>
          <w:right w:val="nil"/>
          <w:between w:val="nil"/>
        </w:pBdr>
        <w:spacing w:after="0"/>
        <w:ind w:firstLine="567"/>
        <w:jc w:val="both"/>
        <w:rPr>
          <w:rFonts w:ascii="Times New Roman" w:hAnsi="Times New Roman"/>
          <w:color w:val="000000"/>
          <w:sz w:val="24"/>
          <w:szCs w:val="24"/>
        </w:rPr>
      </w:pPr>
      <w:r w:rsidRPr="00B81E4D">
        <w:rPr>
          <w:rFonts w:ascii="Times New Roman" w:hAnsi="Times New Roman"/>
          <w:color w:val="000000"/>
          <w:sz w:val="24"/>
          <w:szCs w:val="24"/>
        </w:rPr>
        <w:t>Peneliti telah melakukan studi pendahuluan terkait penilaian formatif yang diberikan oleh guru smp pada saat pembelajaran di kelas. Studi pendahuluan dilakukan melalui pemberian soal SPLDV guna melihat pemahaman siswa terkait SPLDV selama proses belajar mengajar.</w:t>
      </w:r>
    </w:p>
    <w:p w14:paraId="33B46893" w14:textId="77777777" w:rsidR="00DF5571" w:rsidRDefault="00DF5571" w:rsidP="00B81E4D">
      <w:pPr>
        <w:pBdr>
          <w:top w:val="nil"/>
          <w:left w:val="nil"/>
          <w:bottom w:val="nil"/>
          <w:right w:val="nil"/>
          <w:between w:val="nil"/>
        </w:pBdr>
        <w:spacing w:after="0"/>
        <w:ind w:firstLine="567"/>
        <w:jc w:val="both"/>
        <w:rPr>
          <w:rFonts w:ascii="Times New Roman" w:hAnsi="Times New Roman"/>
          <w:color w:val="000000"/>
          <w:sz w:val="24"/>
          <w:szCs w:val="24"/>
        </w:rPr>
      </w:pPr>
    </w:p>
    <w:p w14:paraId="2B1C9876" w14:textId="77777777" w:rsidR="00B81E4D" w:rsidRDefault="00561A6C" w:rsidP="00561A6C">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noProof/>
          <w:color w:val="000000"/>
          <w:sz w:val="24"/>
          <w:szCs w:val="24"/>
          <w:lang w:val="id-ID"/>
        </w:rPr>
        <w:lastRenderedPageBreak/>
        <w:drawing>
          <wp:inline distT="0" distB="0" distL="0" distR="0" wp14:anchorId="1EFE961F" wp14:editId="27D1E919">
            <wp:extent cx="4298315" cy="10547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315" cy="1054735"/>
                    </a:xfrm>
                    <a:prstGeom prst="rect">
                      <a:avLst/>
                    </a:prstGeom>
                    <a:noFill/>
                  </pic:spPr>
                </pic:pic>
              </a:graphicData>
            </a:graphic>
          </wp:inline>
        </w:drawing>
      </w:r>
    </w:p>
    <w:p w14:paraId="03119E2B" w14:textId="77777777" w:rsidR="00561A6C" w:rsidRDefault="00561A6C" w:rsidP="00561A6C">
      <w:pPr>
        <w:pBdr>
          <w:top w:val="nil"/>
          <w:left w:val="nil"/>
          <w:bottom w:val="nil"/>
          <w:right w:val="nil"/>
          <w:between w:val="nil"/>
        </w:pBdr>
        <w:spacing w:after="0" w:line="240" w:lineRule="auto"/>
        <w:jc w:val="center"/>
        <w:rPr>
          <w:rFonts w:ascii="Times New Roman" w:hAnsi="Times New Roman"/>
          <w:color w:val="000000"/>
          <w:sz w:val="22"/>
          <w:szCs w:val="24"/>
        </w:rPr>
      </w:pPr>
      <w:r w:rsidRPr="00561A6C">
        <w:rPr>
          <w:rFonts w:ascii="Times New Roman" w:hAnsi="Times New Roman"/>
          <w:b/>
          <w:color w:val="000000"/>
          <w:sz w:val="22"/>
          <w:szCs w:val="24"/>
        </w:rPr>
        <w:t>Gambar 1</w:t>
      </w:r>
      <w:r w:rsidRPr="00561A6C">
        <w:rPr>
          <w:rFonts w:ascii="Times New Roman" w:hAnsi="Times New Roman"/>
          <w:color w:val="000000"/>
          <w:sz w:val="22"/>
          <w:szCs w:val="24"/>
        </w:rPr>
        <w:t>. Soal</w:t>
      </w:r>
    </w:p>
    <w:p w14:paraId="55ED8D0B" w14:textId="77777777" w:rsidR="00561A6C" w:rsidRDefault="00561A6C" w:rsidP="00561A6C">
      <w:pPr>
        <w:pBdr>
          <w:top w:val="nil"/>
          <w:left w:val="nil"/>
          <w:bottom w:val="nil"/>
          <w:right w:val="nil"/>
          <w:between w:val="nil"/>
        </w:pBdr>
        <w:spacing w:after="0" w:line="240" w:lineRule="auto"/>
        <w:jc w:val="center"/>
        <w:rPr>
          <w:rFonts w:ascii="Times New Roman" w:hAnsi="Times New Roman"/>
          <w:color w:val="000000"/>
          <w:sz w:val="22"/>
          <w:szCs w:val="24"/>
        </w:rPr>
      </w:pPr>
    </w:p>
    <w:p w14:paraId="1548CC66" w14:textId="77777777" w:rsidR="00561A6C" w:rsidRDefault="00561A6C" w:rsidP="00561A6C">
      <w:pPr>
        <w:pBdr>
          <w:top w:val="nil"/>
          <w:left w:val="nil"/>
          <w:bottom w:val="nil"/>
          <w:right w:val="nil"/>
          <w:between w:val="nil"/>
        </w:pBdr>
        <w:spacing w:after="0"/>
        <w:ind w:firstLine="567"/>
        <w:jc w:val="both"/>
        <w:rPr>
          <w:rFonts w:ascii="Times New Roman" w:hAnsi="Times New Roman"/>
          <w:color w:val="000000"/>
          <w:sz w:val="22"/>
          <w:szCs w:val="24"/>
        </w:rPr>
      </w:pPr>
      <w:r w:rsidRPr="00561A6C">
        <w:rPr>
          <w:rFonts w:ascii="Times New Roman" w:hAnsi="Times New Roman"/>
          <w:color w:val="000000"/>
          <w:sz w:val="22"/>
          <w:szCs w:val="24"/>
        </w:rPr>
        <w:t>Salah satu pekerjaan siswa dapat terlihat pada gambar 2 di bawah ini.</w:t>
      </w:r>
    </w:p>
    <w:p w14:paraId="24D610AA" w14:textId="77777777" w:rsidR="00561A6C" w:rsidRDefault="00561A6C" w:rsidP="00561A6C">
      <w:pPr>
        <w:pBdr>
          <w:top w:val="nil"/>
          <w:left w:val="nil"/>
          <w:bottom w:val="nil"/>
          <w:right w:val="nil"/>
          <w:between w:val="nil"/>
        </w:pBdr>
        <w:spacing w:after="0"/>
        <w:jc w:val="center"/>
        <w:rPr>
          <w:rFonts w:ascii="Times New Roman" w:hAnsi="Times New Roman"/>
          <w:color w:val="000000"/>
          <w:sz w:val="24"/>
          <w:szCs w:val="24"/>
        </w:rPr>
      </w:pPr>
    </w:p>
    <w:p w14:paraId="434A18A8" w14:textId="77777777" w:rsidR="00561A6C" w:rsidRDefault="00561A6C" w:rsidP="00561A6C">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noProof/>
          <w:color w:val="000000"/>
          <w:sz w:val="24"/>
          <w:szCs w:val="24"/>
          <w:lang w:val="id-ID"/>
        </w:rPr>
        <w:drawing>
          <wp:inline distT="0" distB="0" distL="0" distR="0" wp14:anchorId="3AE822A6" wp14:editId="7686077A">
            <wp:extent cx="3255645" cy="25603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645" cy="2560320"/>
                    </a:xfrm>
                    <a:prstGeom prst="rect">
                      <a:avLst/>
                    </a:prstGeom>
                    <a:noFill/>
                  </pic:spPr>
                </pic:pic>
              </a:graphicData>
            </a:graphic>
          </wp:inline>
        </w:drawing>
      </w:r>
    </w:p>
    <w:p w14:paraId="0CA0C924" w14:textId="77777777" w:rsidR="00561A6C" w:rsidRPr="00561A6C" w:rsidRDefault="00561A6C" w:rsidP="00561A6C">
      <w:pPr>
        <w:pBdr>
          <w:top w:val="nil"/>
          <w:left w:val="nil"/>
          <w:bottom w:val="nil"/>
          <w:right w:val="nil"/>
          <w:between w:val="nil"/>
        </w:pBdr>
        <w:spacing w:after="0" w:line="240" w:lineRule="auto"/>
        <w:jc w:val="center"/>
        <w:rPr>
          <w:rFonts w:ascii="Times New Roman" w:hAnsi="Times New Roman"/>
          <w:color w:val="000000"/>
          <w:sz w:val="22"/>
          <w:szCs w:val="24"/>
        </w:rPr>
      </w:pPr>
      <w:r w:rsidRPr="00561A6C">
        <w:rPr>
          <w:rFonts w:ascii="Times New Roman" w:hAnsi="Times New Roman"/>
          <w:b/>
          <w:color w:val="000000"/>
          <w:sz w:val="22"/>
          <w:szCs w:val="24"/>
        </w:rPr>
        <w:t>Gambar 2</w:t>
      </w:r>
      <w:r w:rsidRPr="00561A6C">
        <w:rPr>
          <w:rFonts w:ascii="Times New Roman" w:hAnsi="Times New Roman"/>
          <w:color w:val="000000"/>
          <w:sz w:val="22"/>
          <w:szCs w:val="24"/>
        </w:rPr>
        <w:t>. Jawaban Siswa</w:t>
      </w:r>
    </w:p>
    <w:p w14:paraId="0F5110F8" w14:textId="77777777" w:rsidR="00561A6C" w:rsidRDefault="00561A6C" w:rsidP="00561A6C">
      <w:pPr>
        <w:pBdr>
          <w:top w:val="nil"/>
          <w:left w:val="nil"/>
          <w:bottom w:val="nil"/>
          <w:right w:val="nil"/>
          <w:between w:val="nil"/>
        </w:pBdr>
        <w:spacing w:after="0"/>
        <w:ind w:firstLine="567"/>
        <w:jc w:val="both"/>
        <w:rPr>
          <w:rFonts w:ascii="Times New Roman" w:hAnsi="Times New Roman"/>
          <w:color w:val="000000"/>
          <w:sz w:val="22"/>
          <w:szCs w:val="24"/>
        </w:rPr>
      </w:pPr>
    </w:p>
    <w:p w14:paraId="3404B7FC" w14:textId="77777777" w:rsidR="00561A6C" w:rsidRPr="00561A6C" w:rsidRDefault="00561A6C" w:rsidP="00561A6C">
      <w:pPr>
        <w:pBdr>
          <w:top w:val="nil"/>
          <w:left w:val="nil"/>
          <w:bottom w:val="nil"/>
          <w:right w:val="nil"/>
          <w:between w:val="nil"/>
        </w:pBdr>
        <w:spacing w:after="0"/>
        <w:ind w:firstLine="567"/>
        <w:jc w:val="both"/>
        <w:rPr>
          <w:rFonts w:ascii="Times New Roman" w:hAnsi="Times New Roman"/>
          <w:color w:val="000000"/>
          <w:sz w:val="24"/>
          <w:szCs w:val="24"/>
        </w:rPr>
      </w:pPr>
      <w:r w:rsidRPr="00561A6C">
        <w:rPr>
          <w:rFonts w:ascii="Times New Roman" w:hAnsi="Times New Roman"/>
          <w:color w:val="000000"/>
          <w:sz w:val="24"/>
          <w:szCs w:val="24"/>
        </w:rPr>
        <w:t>Terlihat dari jawaban salah satu siswa, asesmen formatif sudah bisa dikatakan cukup baik. Hal ini karena, siswa sudah sedikit paham terkait materi SPLDV yang diberikan oleh gurunya selama proses belajar mengajar.  Meskipun demikian, pemahaman dan penerapan asesmen formatif dalam konteks pembelajaran matematika di sekolah menengah pertama tidak selalu mudah bagi para pendidik. Banyak faktor yang mempengaruhi persepsi dan praktik penggunaan asesmen formatif oleh guru, termasuk ketersediaan sumber daya, pemahaman konseptual tentang asesmen, dan dukungan dari lingkungan sekolah. Dalam konteks ini, penting untuk mendalami persepsi guru terhadap penggunaan asesmen formatif dalam pembelajaran matematika di sekolah menengah pertama. Dengan memahami pandangan dan pengalaman para guru, kita dapat mengidentifikasi tantangan yang dihadapi dan mengembangkan strategi untuk meningkatkan efektivitas penggunaan asesmen formatif dalam pembelajaran matematika.</w:t>
      </w:r>
    </w:p>
    <w:p w14:paraId="341319BC" w14:textId="77777777" w:rsidR="00561A6C" w:rsidRDefault="00561A6C" w:rsidP="00561A6C">
      <w:pPr>
        <w:pBdr>
          <w:top w:val="nil"/>
          <w:left w:val="nil"/>
          <w:bottom w:val="nil"/>
          <w:right w:val="nil"/>
          <w:between w:val="nil"/>
        </w:pBdr>
        <w:spacing w:after="0"/>
        <w:ind w:firstLine="567"/>
        <w:jc w:val="both"/>
        <w:rPr>
          <w:rFonts w:ascii="Times New Roman" w:hAnsi="Times New Roman"/>
          <w:color w:val="000000"/>
          <w:sz w:val="24"/>
          <w:szCs w:val="24"/>
        </w:rPr>
      </w:pPr>
      <w:r w:rsidRPr="00561A6C">
        <w:rPr>
          <w:rFonts w:ascii="Times New Roman" w:hAnsi="Times New Roman"/>
          <w:color w:val="000000"/>
          <w:sz w:val="24"/>
          <w:szCs w:val="24"/>
        </w:rPr>
        <w:t>Melalui penelitian yang cermat tentang persepsi guru terhadap asesmen formatif, kita dapat mengumpulkan wawasan yang berharga untuk membimbing pengembangan profesional guru, merancang kurikulum yang lebih responsif, dan memperkuat praktik pembelajaran matematika yang berpusat pada siswa. Dengan demikian, penelitian ini memiliki potensi untuk memberikan kontribusi yang signifikan terhadap peningkatan mutu pembelajaran matematika di tingkat sekolah menengah pertama.</w:t>
      </w:r>
    </w:p>
    <w:p w14:paraId="5BCF1D4F" w14:textId="77777777" w:rsidR="00561A6C" w:rsidRDefault="00561A6C" w:rsidP="00561A6C">
      <w:pPr>
        <w:pBdr>
          <w:top w:val="nil"/>
          <w:left w:val="nil"/>
          <w:bottom w:val="nil"/>
          <w:right w:val="nil"/>
          <w:between w:val="nil"/>
        </w:pBdr>
        <w:spacing w:after="0"/>
        <w:ind w:firstLine="567"/>
        <w:jc w:val="both"/>
        <w:rPr>
          <w:rFonts w:ascii="Times New Roman" w:hAnsi="Times New Roman"/>
          <w:color w:val="000000"/>
          <w:sz w:val="22"/>
          <w:szCs w:val="24"/>
        </w:rPr>
      </w:pPr>
    </w:p>
    <w:p w14:paraId="33A43BA3" w14:textId="77777777" w:rsidR="00561A6C" w:rsidRPr="00561A6C" w:rsidRDefault="00561A6C" w:rsidP="00561A6C">
      <w:pPr>
        <w:pBdr>
          <w:top w:val="nil"/>
          <w:left w:val="nil"/>
          <w:bottom w:val="nil"/>
          <w:right w:val="nil"/>
          <w:between w:val="nil"/>
        </w:pBdr>
        <w:spacing w:after="0"/>
        <w:ind w:firstLine="567"/>
        <w:jc w:val="both"/>
        <w:rPr>
          <w:rFonts w:ascii="Times New Roman" w:hAnsi="Times New Roman"/>
          <w:color w:val="000000"/>
          <w:sz w:val="22"/>
          <w:szCs w:val="24"/>
        </w:rPr>
      </w:pPr>
    </w:p>
    <w:p w14:paraId="3E90B12F" w14:textId="77777777" w:rsidR="00DF5571" w:rsidRDefault="00945FF6">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lastRenderedPageBreak/>
        <w:t>Metodologi Penelitian</w:t>
      </w:r>
    </w:p>
    <w:p w14:paraId="4FEA312A" w14:textId="77777777" w:rsidR="005A499E" w:rsidRPr="005A499E"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 xml:space="preserve">Studi ini menggunakan pendekatan kualitatif untuk mengeksplorasi persepsi guru terhadap penggunaan asesmen formatif dalam pembelajaran matematika. Penelitian dilakukan pada Juni 2024. Penelitian ini melibatkan tiga guru matematika dari tiga Sekolah Menengah Pertama (SMP) di Sampang. Usia guru berkisar antara 29 tahun hingga 34 tahun. Dari segi latar belakang pendidikan, satu orang guru bergelar magister (S2) di bidang pendidikan matematika, sedangkan dua lainnya memiliki gelar sarjana (S1) di bidang pendidikan matematika. </w:t>
      </w:r>
    </w:p>
    <w:p w14:paraId="666CF0F9" w14:textId="77777777" w:rsidR="00DF5571"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 xml:space="preserve">Pengumpulan data melalui observasi dan wawancara semi terstruktur karena kekuatannya dalam mengumpulkan data yang komprehensif dan sistematis </w:t>
      </w:r>
      <w:r w:rsidRPr="005A499E">
        <w:rPr>
          <w:rFonts w:ascii="Times New Roman" w:hAnsi="Times New Roman"/>
          <w:color w:val="000000"/>
          <w:sz w:val="24"/>
          <w:szCs w:val="24"/>
        </w:rPr>
        <w:fldChar w:fldCharType="begin" w:fldLock="1"/>
      </w:r>
      <w:r w:rsidRPr="005A499E">
        <w:rPr>
          <w:rFonts w:ascii="Times New Roman" w:hAnsi="Times New Roman"/>
          <w:color w:val="000000"/>
          <w:sz w:val="24"/>
          <w:szCs w:val="24"/>
        </w:rPr>
        <w:instrText>ADDIN CSL_CITATION {"citationItems":[{"id":"ITEM-1","itemData":{"ISBN":"9780078097850","author":[{"dropping-particle":"","family":"Frankel","given":"Jack R","non-dropping-particle":"","parse-names":false,"suffix":""},{"dropping-particle":"","family":"Wallen","given":"Norman E","non-dropping-particle":"","parse-names":false,"suffix":""},{"dropping-particle":"","family":"Hyun","given":"Helen H","non-dropping-particle":"","parse-names":false,"suffix":""}],"id":"ITEM-1","issued":{"date-parts":[["2012"]]},"title":"HOW TO DESIGN AND EVALUATE RESEARCH IN EDUCATION","type":"book"},"uris":["http://www.mendeley.com/documents/?uuid=20595811-2241-4f85-a002-6e5969d74564"]}],"mendeley":{"formattedCitation":"(Frankel et al., 2012)","plainTextFormattedCitation":"(Frankel et al., 2012)","previouslyFormattedCitation":"(Frankel et al., 2012)"},"properties":{"noteIndex":0},"schema":"https://github.com/citation-style-language/schema/raw/master/csl-citation.json"}</w:instrText>
      </w:r>
      <w:r w:rsidRPr="005A499E">
        <w:rPr>
          <w:rFonts w:ascii="Times New Roman" w:hAnsi="Times New Roman"/>
          <w:color w:val="000000"/>
          <w:sz w:val="24"/>
          <w:szCs w:val="24"/>
        </w:rPr>
        <w:fldChar w:fldCharType="separate"/>
      </w:r>
      <w:r w:rsidRPr="005A499E">
        <w:rPr>
          <w:rFonts w:ascii="Times New Roman" w:hAnsi="Times New Roman"/>
          <w:color w:val="000000"/>
          <w:sz w:val="24"/>
          <w:szCs w:val="24"/>
        </w:rPr>
        <w:t>(Frankel et al., 2012)</w:t>
      </w:r>
      <w:r w:rsidRPr="005A499E">
        <w:rPr>
          <w:rFonts w:ascii="Times New Roman" w:hAnsi="Times New Roman"/>
          <w:color w:val="000000"/>
          <w:sz w:val="24"/>
          <w:szCs w:val="24"/>
        </w:rPr>
        <w:fldChar w:fldCharType="end"/>
      </w:r>
      <w:r w:rsidRPr="005A499E">
        <w:rPr>
          <w:rFonts w:ascii="Times New Roman" w:hAnsi="Times New Roman"/>
          <w:color w:val="000000"/>
          <w:sz w:val="24"/>
          <w:szCs w:val="24"/>
        </w:rPr>
        <w:t>. Lima belas  pertanyaan pokok telah disiapkan sebagai pedoman, ketika terdapat data yang akan diperdalam peneliti tetap mempunyai kebebasan untuk menyelidiki dan menguraikan pertanyaan. Secara umum, pertanyaan berkaitan dengan persepsi guru terhadap penggunaan asesmen formatif dalam pembelajaran matematika. Data yang telah dikumpulkan dianalisis berdasarkan analisis data yakni pengumpulan data, reduksi data, penyajian data, dan penarikan kesimpulan.</w:t>
      </w:r>
    </w:p>
    <w:p w14:paraId="7C655CB1" w14:textId="77777777" w:rsidR="00DF5571" w:rsidRDefault="00945FF6">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Hasil Penelitian dan Pembahasan</w:t>
      </w:r>
    </w:p>
    <w:p w14:paraId="57A1E324" w14:textId="77777777" w:rsidR="005A499E" w:rsidRPr="005A499E" w:rsidRDefault="005A499E" w:rsidP="005A499E">
      <w:pPr>
        <w:pBdr>
          <w:top w:val="nil"/>
          <w:left w:val="nil"/>
          <w:bottom w:val="nil"/>
          <w:right w:val="nil"/>
          <w:between w:val="nil"/>
        </w:pBdr>
        <w:spacing w:after="0"/>
        <w:ind w:firstLine="360"/>
        <w:jc w:val="both"/>
        <w:rPr>
          <w:rFonts w:ascii="Times New Roman" w:hAnsi="Times New Roman"/>
          <w:color w:val="000000"/>
          <w:sz w:val="24"/>
          <w:szCs w:val="24"/>
        </w:rPr>
      </w:pPr>
      <w:r w:rsidRPr="005A499E">
        <w:rPr>
          <w:rFonts w:ascii="Times New Roman" w:hAnsi="Times New Roman"/>
          <w:color w:val="000000"/>
          <w:sz w:val="24"/>
          <w:szCs w:val="24"/>
        </w:rPr>
        <w:t>Penelitian ini mengungkap beberapa temuan kunci mengenai persepsi guru terhadap penggunaan asesmen formatif dalam pembelajaran matematika di Sekolah Menengah Pertama (SMP) di Sampang. Hasil penelitian disajikan berdasarkan tema-tema yang muncul dari wawancara dengan tiga guru matematika yang berpartisipasi.</w:t>
      </w:r>
    </w:p>
    <w:p w14:paraId="7893CB32" w14:textId="77777777" w:rsidR="005A499E" w:rsidRPr="005A499E" w:rsidRDefault="005A499E" w:rsidP="005A499E">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sidRPr="005A499E">
        <w:rPr>
          <w:rFonts w:ascii="Times New Roman" w:hAnsi="Times New Roman"/>
          <w:b/>
          <w:color w:val="000000"/>
          <w:sz w:val="24"/>
          <w:szCs w:val="24"/>
        </w:rPr>
        <w:t>Pemahaman Guru tentang Asesmen Formatif</w:t>
      </w:r>
    </w:p>
    <w:p w14:paraId="58E72550"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 xml:space="preserve">Ketiga guru yang diwawancarai menunjukkan pemahaman yang baik mengenai konsep asesmen formatif. Peneliti lain juga berpendapat bahwa Tingkat kesadaran guru terhadap penilaian formatif berperan penting dalam mempengaruhi persepsi atau sikap mereka terhadap penilaian formatif </w:t>
      </w:r>
      <w:r w:rsidRPr="005A499E">
        <w:rPr>
          <w:rFonts w:ascii="Times New Roman" w:hAnsi="Times New Roman"/>
          <w:color w:val="000000"/>
          <w:sz w:val="24"/>
          <w:szCs w:val="24"/>
        </w:rPr>
        <w:fldChar w:fldCharType="begin" w:fldLock="1"/>
      </w:r>
      <w:r w:rsidRPr="005A499E">
        <w:rPr>
          <w:rFonts w:ascii="Times New Roman" w:hAnsi="Times New Roman"/>
          <w:color w:val="000000"/>
          <w:sz w:val="24"/>
          <w:szCs w:val="24"/>
        </w:rPr>
        <w:instrText>ADDIN CSL_CITATION {"citationItems":[{"id":"ITEM-1","itemData":{"author":[{"dropping-particle":"","family":"Karim","given":"Barzan Hadi Hama","non-dropping-particle":"","parse-names":false,"suffix":""}],"container-title":"International Journal of Humanities Social Sciences and Evaluation (IJHSSE)","id":"ITEM-1","issue":"3","issued":{"date-parts":[["2015"]]},"page":"108-115","title":"International Journal of Humanities Social Sciences and Education ( IJHSSE ) The Impact of Teachers ’ Beliefs and Perceptions about Formative Assessment in the University ESL Class","type":"article-journal","volume":"2"},"uris":["http://www.mendeley.com/documents/?uuid=e71c5b68-956a-4213-9ddd-8e97621957de"]},{"id":"ITEM-2","itemData":{"DOI":"10.5539/elt.v14n7p107","ISSN":"1916-4742","abstract":"Formative assessment has received considerable attention among scholars around the world. In Saudi Arabia, formative assessment is perceived as a promising opportunity for improving learning outcomes. The review of literature presents formative assessment as a serious issue that can affect students&amp;rsquo; outcomes. In particular, teachers&amp;rsquo; perception is an important factor that determines their willingness to apply specific assessment strategies in class. According to the findings, formative assessment leads to positive student outcomes. Importantly, the overall perception towards formative is multi-factored. As such, a single factor cannot be blamed for teachers&amp;rsquo; perception and attitude outcomes. Notably, teacher&amp;rsquo; experience, education level, and other factors define their perception towards formative assessment. As such, any efforts to influence their perspective will have a significant positive outcome on their willingness to apply formative assessment. However, a further study is needed to quantify the significance of teachers&amp;rsquo; perception in influencing their decision to apply formative or summative assessment.&amp;nbsp;","author":[{"dropping-particle":"","family":"Alsubaiai","given":"Hanan Sarhan Megaad","non-dropping-particle":"","parse-names":false,"suffix":""}],"container-title":"English Language Teaching","id":"ITEM-2","issue":"7","issued":{"date-parts":[["2021"]]},"page":"107","title":"Teachers’ Perception towards Formative Assessment in Saudi Universities’ Context: A Review of Literature","type":"article-journal","volume":"14"},"uris":["http://www.mendeley.com/documents/?uuid=bcef0a8c-ccc1-4f9f-89a3-d3ce6f4c5d90"]},{"id":"ITEM-3","itemData":{"ISSN":"1930-9325","abstract":"Students learning outcomes are bound to improve if the practice of formative assessment is seen as a vital component of the School Based Assessment in the classroom. In the classroom, formative assessment plays a critical role as it provides information to be used as feedback to adjust the teaching and learning activities in which students and teachers are engaged. The study investigated public basic schoolteachers' perceptions and formative assessment practices in the Cape Coast Metropolis of Ghana. The study employed the descriptive survey as well as the multistage sampling procedure to select 300 teachers from the six (6) circuits in the Cape Coast Metropolis. Data were analyzed using frequencies, percentages, means, standard deviations, and Pearson product-moment correlation coefficient. The results showed that basic schoolteachers have positive perceptions of the usefulness of formative assessment in the classroom. It was also revealed that dominant practices that basic school teachers usually engaged in included ensuring effective class participation, discussing feedback with students, use of question and answer during instruction, making formative use of summative assessments, giving students home assignments, and engaging students in activities like role play. Results further indicated a statistically significant positive relationship between basic teachers' perceptions and their formative assessment practices. It is recommended that, short-term courses, workshops, seminars and, other necessary in-service training activities should be organized by the Ghana Education Service (GES) and the Cape Coast Metropolitan Directorate of Education for basic schoolteachers. In these courses, teachers could be exposed to other formative assessment curriculum and application practices, which they can then adopt to enhance students learning with exit/admit slips, four corners, individual whiteboards and kinesthetic assessments.","author":[{"dropping-particle":"","family":"Asare","given":"Eric","non-dropping-particle":"","parse-names":false,"suffix":""}],"container-title":"Jaepr","id":"ITEM-3","issue":"1","issued":{"date-parts":[["2020"]]},"page":"177-187","title":"Basic teachers' perceptions and practices of formative assessment in the cape coast metropolis of ghana","type":"article-journal","volume":"5"},"uris":["http://www.mendeley.com/documents/?uuid=7c358af1-dadb-4ac2-9629-9f153d8a4bb7"]}],"mendeley":{"formattedCitation":"(Alsubaiai, 2021; Asare, 2020; Karim, 2015)","plainTextFormattedCitation":"(Alsubaiai, 2021; Asare, 2020; Karim, 2015)"},"properties":{"noteIndex":0},"schema":"https://github.com/citation-style-language/schema/raw/master/csl-citation.json"}</w:instrText>
      </w:r>
      <w:r w:rsidRPr="005A499E">
        <w:rPr>
          <w:rFonts w:ascii="Times New Roman" w:hAnsi="Times New Roman"/>
          <w:color w:val="000000"/>
          <w:sz w:val="24"/>
          <w:szCs w:val="24"/>
        </w:rPr>
        <w:fldChar w:fldCharType="separate"/>
      </w:r>
      <w:r w:rsidRPr="005A499E">
        <w:rPr>
          <w:rFonts w:ascii="Times New Roman" w:hAnsi="Times New Roman"/>
          <w:color w:val="000000"/>
          <w:sz w:val="24"/>
          <w:szCs w:val="24"/>
        </w:rPr>
        <w:t>(Alsubaiai, 2021; Asare, 2020; Karim, 2015)</w:t>
      </w:r>
      <w:r w:rsidRPr="005A499E">
        <w:rPr>
          <w:rFonts w:ascii="Times New Roman" w:hAnsi="Times New Roman"/>
          <w:color w:val="000000"/>
          <w:sz w:val="24"/>
          <w:szCs w:val="24"/>
        </w:rPr>
        <w:fldChar w:fldCharType="end"/>
      </w:r>
      <w:r w:rsidRPr="005A499E">
        <w:rPr>
          <w:rFonts w:ascii="Times New Roman" w:hAnsi="Times New Roman"/>
          <w:color w:val="000000"/>
          <w:sz w:val="24"/>
          <w:szCs w:val="24"/>
        </w:rPr>
        <w:t>. Mereka menyadari bahwa asesmen formatif bukan hanya tentang memberikan tes atau kuis, tetapi juga melibatkan berbagai strategi untuk memantau dan mendukung proses belajar siswa secara berkelanjutan. Salah satu guru mengatakan:</w:t>
      </w:r>
    </w:p>
    <w:p w14:paraId="368F5A7C"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 xml:space="preserve">“Asesmen formatif itu penting karena kita bisa tahu perkembangan siswa setiap saat dan bisa menyesuaikan pengajaran sesuai kebutuhan mereka.” </w:t>
      </w:r>
    </w:p>
    <w:p w14:paraId="348F1A85" w14:textId="77777777" w:rsidR="005A499E" w:rsidRPr="005A499E" w:rsidRDefault="005A499E" w:rsidP="005A499E">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sidRPr="005A499E">
        <w:rPr>
          <w:rFonts w:ascii="Times New Roman" w:hAnsi="Times New Roman"/>
          <w:b/>
          <w:color w:val="000000"/>
          <w:sz w:val="24"/>
          <w:szCs w:val="24"/>
        </w:rPr>
        <w:t>Praktik Penggunaan Asesmen Formatif</w:t>
      </w:r>
    </w:p>
    <w:p w14:paraId="70F92120"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Para guru mengimplementasikan asesmen formatif melalui berbagai metode, termasuk observasi langsung, diskusi kelas, penilaian tertulis, dan penggunaan teknologi pendidikan. Namun, frekuensi dan jenis asesmen yang digunakan bervariasi tergantung pada kenyamanan dan keterampilan masing-masing guru. Seorang guru menjelaskan:</w:t>
      </w:r>
    </w:p>
    <w:p w14:paraId="2078CD66" w14:textId="77777777" w:rsid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“Saya sering menggunakan kuis singkat di akhir pelajaran untuk melihat sejauh mana siswa memahami materi yang telah diajarkan. Saya juga menggunakan aplikasi pendidikan untuk memberikan tugas interaktif.”</w:t>
      </w:r>
    </w:p>
    <w:p w14:paraId="556C96CC" w14:textId="77777777" w:rsid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p>
    <w:p w14:paraId="41E1FAA8"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p>
    <w:p w14:paraId="1559E41D" w14:textId="77777777" w:rsidR="005A499E" w:rsidRPr="005A499E" w:rsidRDefault="005A499E" w:rsidP="005A499E">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sidRPr="005A499E">
        <w:rPr>
          <w:rFonts w:ascii="Times New Roman" w:hAnsi="Times New Roman"/>
          <w:b/>
          <w:color w:val="000000"/>
          <w:sz w:val="24"/>
          <w:szCs w:val="24"/>
        </w:rPr>
        <w:lastRenderedPageBreak/>
        <w:t>Tantangan dalam Penerapan Asesmen Formatif</w:t>
      </w:r>
    </w:p>
    <w:p w14:paraId="3490E149"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Walaupun para guru mengakui manfaat asesmen formatif, mereka juga menghadapi beberapa tantangan dalam penerapannya. Tantangan-tantangan tersebut meliputi keterbatasan waktu, beban kerja yang tinggi, dan kurangnya dukungan dari sekolah. Salah satu guru mengungkapkan:</w:t>
      </w:r>
    </w:p>
    <w:p w14:paraId="351F8290"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“Tantangannya adalah waktu. Dengan jadwal yang padat dan banyaknya kelas yang harus diajar, sulit untuk meluangkan waktu untuk melakukan asesmen formatif secara mendalam.”</w:t>
      </w:r>
    </w:p>
    <w:p w14:paraId="14E0AE60" w14:textId="77777777" w:rsidR="005A499E" w:rsidRPr="005A499E" w:rsidRDefault="005A499E" w:rsidP="005A499E">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sidRPr="005A499E">
        <w:rPr>
          <w:rFonts w:ascii="Times New Roman" w:hAnsi="Times New Roman"/>
          <w:b/>
          <w:color w:val="000000"/>
          <w:sz w:val="24"/>
          <w:szCs w:val="24"/>
        </w:rPr>
        <w:t>Pengaruh Asesmen Formatif terhadap Pembelajaran</w:t>
      </w:r>
    </w:p>
    <w:p w14:paraId="0A8E471C"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Menurut para guru, asesmen formatif memiliki pengaruh positif terhadap pembelajaran matematika. Mereka melihat peningkatan partisipasi siswa dan pemahaman konsep yang lebih baik. Para siswa lebih termotivasi untuk belajar karena mereka menerima umpan balik yang konstruktif dan tahu apa yang perlu diperbaiki. Seorang guru mencatat:</w:t>
      </w:r>
    </w:p>
    <w:p w14:paraId="0F4AB36C"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“Saya melihat siswa lebih aktif bertanya dan berdiskusi setelah saya memberikan umpan balik dari hasil asesmen. Mereka jadi lebih paham apa yang perlu diperbaiki.”</w:t>
      </w:r>
    </w:p>
    <w:p w14:paraId="3FD1FD31" w14:textId="77777777" w:rsidR="005A499E" w:rsidRPr="005A499E" w:rsidRDefault="005A499E" w:rsidP="005A499E">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sidRPr="005A499E">
        <w:rPr>
          <w:rFonts w:ascii="Times New Roman" w:hAnsi="Times New Roman"/>
          <w:b/>
          <w:color w:val="000000"/>
          <w:sz w:val="24"/>
          <w:szCs w:val="24"/>
        </w:rPr>
        <w:t>Dukungan dan Pelatihan yang Dibutuhkan</w:t>
      </w:r>
    </w:p>
    <w:p w14:paraId="75EB1B29" w14:textId="77777777" w:rsidR="005A499E" w:rsidRPr="005A499E"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Para guru menginginkan lebih banyak pelatihan dan dukungan dari pihak sekolah dan dinas pendidikan untuk meningkatkan efektivitas asesmen formatif. Mereka merasa bahwa pelatihan yang lebih terstruktur dan dukungan teknis dapat membantu mereka mengatasi kendala yang ada. Salah satu guru menyatakan:</w:t>
      </w:r>
    </w:p>
    <w:p w14:paraId="577DF658" w14:textId="77777777" w:rsidR="00DF5571" w:rsidRDefault="005A499E" w:rsidP="005A499E">
      <w:pPr>
        <w:pBdr>
          <w:top w:val="nil"/>
          <w:left w:val="nil"/>
          <w:bottom w:val="nil"/>
          <w:right w:val="nil"/>
          <w:between w:val="nil"/>
        </w:pBdr>
        <w:spacing w:after="0"/>
        <w:ind w:firstLine="426"/>
        <w:jc w:val="both"/>
        <w:rPr>
          <w:rFonts w:ascii="Times New Roman" w:hAnsi="Times New Roman"/>
          <w:color w:val="000000"/>
          <w:sz w:val="24"/>
          <w:szCs w:val="24"/>
        </w:rPr>
      </w:pPr>
      <w:r w:rsidRPr="005A499E">
        <w:rPr>
          <w:rFonts w:ascii="Times New Roman" w:hAnsi="Times New Roman"/>
          <w:color w:val="000000"/>
          <w:sz w:val="24"/>
          <w:szCs w:val="24"/>
        </w:rPr>
        <w:t>“Pelatihan yang lebih mendalam tentang teknik-teknik asesmen formatif akan sangat membantu. Selain itu, dukungan dari sekolah dalam bentuk waktu tambahan atau pengurangan beban administratif juga sangat diperlukan.”</w:t>
      </w:r>
    </w:p>
    <w:p w14:paraId="166070F4" w14:textId="77777777" w:rsidR="00DF5571" w:rsidRDefault="00945FF6">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Simpulan</w:t>
      </w:r>
    </w:p>
    <w:p w14:paraId="0CD9F219" w14:textId="77777777" w:rsidR="005A499E" w:rsidRPr="005A499E"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Penelitian ini memberikan wawasan mendalam tentang persepsi dan praktik penggunaan asesmen formatif dalam pembelajaran matematika di tingkat Sekolah Menengah Pertama (SMP) di Sampang. Berdasarkan analisis wawancara dengan tiga guru matematika, diketahui bahwa para guru memiliki pemahaman yang cukup mendalam mengenai konsep dan tujuan asesmen formatif. Mereka menyadari bahwa asesmen formatif adalah alat penting untuk memantau perkembangan belajar siswa secara berkelanjutan, memberikan umpan balik yang konstruktif, dan menyesuaikan metode pengajaran untuk memenuhi kebutuhan individual siswa.</w:t>
      </w:r>
    </w:p>
    <w:p w14:paraId="20295810" w14:textId="77777777" w:rsidR="005A499E" w:rsidRPr="005A499E"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Para guru menggunakan berbagai metode asesmen formatif, termasuk observasi kelas, diskusi, kuis singkat, dan teknologi pendidikan. Meskipun terdapat variasi dalam penerapannya, semua guru berusaha mengintegrasikan asesmen formatif ke dalam rutinitas pengajaran mereka untuk meningkatkan partisipasi dan pemahaman siswa. Namun, beberapa tantangan utama yang dihadapi oleh para guru dalam menerapkan asesmen formatif mencakup keterbatasan waktu, beban kerja yang tinggi, dan kurangnya dukungan dari lingkungan sekolah. Keterbatasan ini sering kali menghambat kemampuan guru untuk melakukan asesmen formatif secara mendalam dan konsisten.</w:t>
      </w:r>
    </w:p>
    <w:p w14:paraId="6D243361" w14:textId="77777777" w:rsidR="005A499E" w:rsidRPr="005A499E"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 xml:space="preserve">Meskipun ada tantangan, para guru melaporkan bahwa asesmen formatif memiliki dampak positif yang signifikan terhadap pembelajaran siswa. Siswa menjadi lebih aktif dan </w:t>
      </w:r>
      <w:r w:rsidRPr="005A499E">
        <w:rPr>
          <w:rFonts w:ascii="Times New Roman" w:hAnsi="Times New Roman"/>
          <w:color w:val="000000"/>
          <w:sz w:val="24"/>
          <w:szCs w:val="24"/>
        </w:rPr>
        <w:lastRenderedPageBreak/>
        <w:t>termotivasi dalam proses belajar karena mereka mendapatkan umpan balik yang jelas dan spesifik mengenai kemajuan dan area yang perlu diperbaiki. Para guru menggarisbawahi pentingnya dukungan tambahan dari pihak sekolah dan dinas pendidikan, seperti pelatihan lebih lanjut tentang teknik-teknik asesmen formatif, pengurangan beban administratif, dan penyediaan sumber daya yang memadai. Dukungan ini diharapkan dapat membantu guru dalam mengatasi kendala yang ada dan meningkatkan efektivitas penerapan asesmen formatif.</w:t>
      </w:r>
    </w:p>
    <w:p w14:paraId="20D3FAB7" w14:textId="77777777" w:rsidR="005A499E" w:rsidRPr="005A499E"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Berdasarkan temuan penelitian, disarankan adanya program pelatihan dan pengembangan profesional yang lebih terstruktur bagi guru, yang fokus pada penguasaan teknik-teknik asesmen formatif dan penggunaannya dalam pembelajaran matematika. Program ini juga sebaiknya mencakup aspek-aspek praktis dan aplikatif untuk membantu guru menerapkan asesmen formatif dengan lebih efektif di kelas. Penelitian ini juga menyoroti pentingnya kolaborasi antar guru untuk berbagi pengalaman dan praktik terbaik dalam penggunaan asesmen formatif. Melalui kolaborasi ini, guru dapat saling mendukung dan menginspirasi dalam meningkatkan kualitas pembelajaran matematika.</w:t>
      </w:r>
    </w:p>
    <w:p w14:paraId="7F45F64C" w14:textId="77777777" w:rsidR="00DF5571" w:rsidRDefault="005A499E" w:rsidP="005A499E">
      <w:pPr>
        <w:pBdr>
          <w:top w:val="nil"/>
          <w:left w:val="nil"/>
          <w:bottom w:val="nil"/>
          <w:right w:val="nil"/>
          <w:between w:val="nil"/>
        </w:pBdr>
        <w:spacing w:after="0"/>
        <w:ind w:firstLine="567"/>
        <w:jc w:val="both"/>
        <w:rPr>
          <w:rFonts w:ascii="Times New Roman" w:hAnsi="Times New Roman"/>
          <w:color w:val="000000"/>
          <w:sz w:val="24"/>
          <w:szCs w:val="24"/>
        </w:rPr>
      </w:pPr>
      <w:r w:rsidRPr="005A499E">
        <w:rPr>
          <w:rFonts w:ascii="Times New Roman" w:hAnsi="Times New Roman"/>
          <w:color w:val="000000"/>
          <w:sz w:val="24"/>
          <w:szCs w:val="24"/>
        </w:rPr>
        <w:t>Hasil penelitian ini memiliki implikasi bagi pembuat kebijakan pendidikan. Kebijakan yang mendukung penggunaan asesmen formatif secara luas dan sistematis di sekolah-sekolah dapat membantu menciptakan lingkungan belajar yang lebih responsif dan adaptif terhadap kebutuhan siswa, sehingga meningkatkan hasil belajar secara keseluruhan. Secara keseluruhan, penelitian ini menegaskan pentingnya asesmen formatif dalam pembelajaran matematika di SMP dan perlunya dukungan yang lebih kuat bagi guru untuk mengimplementasikannya secara efektif. Dengan pemahaman yang lebih baik dan dukungan yang memadai, asesmen formatif dapat menjadi alat yang sangat efektif dalam meningkatkan kualitas pendidikan dan hasil belajar siswa.</w:t>
      </w:r>
    </w:p>
    <w:p w14:paraId="3A06CE2D" w14:textId="77777777" w:rsidR="00DF5571" w:rsidRDefault="00DF5571">
      <w:pPr>
        <w:pBdr>
          <w:top w:val="nil"/>
          <w:left w:val="nil"/>
          <w:bottom w:val="nil"/>
          <w:right w:val="nil"/>
          <w:between w:val="nil"/>
        </w:pBdr>
        <w:spacing w:after="0"/>
        <w:ind w:firstLine="567"/>
        <w:jc w:val="both"/>
        <w:rPr>
          <w:rFonts w:ascii="Times New Roman" w:hAnsi="Times New Roman"/>
          <w:color w:val="000000"/>
          <w:sz w:val="24"/>
          <w:szCs w:val="24"/>
        </w:rPr>
      </w:pPr>
    </w:p>
    <w:p w14:paraId="322064E6" w14:textId="77777777" w:rsidR="00DF5571" w:rsidRDefault="005A499E">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Saran</w:t>
      </w:r>
    </w:p>
    <w:p w14:paraId="1FCB8926"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Penelitian dengan Sampel yang Lebih Luas</w:t>
      </w:r>
      <w:r w:rsidRPr="005A499E">
        <w:rPr>
          <w:rFonts w:ascii="Times New Roman" w:hAnsi="Times New Roman"/>
          <w:color w:val="000000"/>
          <w:sz w:val="24"/>
          <w:szCs w:val="24"/>
        </w:rPr>
        <w:t>: Studi selanjutnya dapat melibatkan lebih banyak guru dari berbagai sekolah di daerah yang berbeda untuk memperoleh gambaran yang lebih komprehensif tentang persepsi dan praktik penggunaan asesmen formatif dalam pembelajaran matematika.</w:t>
      </w:r>
    </w:p>
    <w:p w14:paraId="5E59361E"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Pendekatan Kuantitatif</w:t>
      </w:r>
      <w:r w:rsidRPr="005A499E">
        <w:rPr>
          <w:rFonts w:ascii="Times New Roman" w:hAnsi="Times New Roman"/>
          <w:color w:val="000000"/>
          <w:sz w:val="24"/>
          <w:szCs w:val="24"/>
        </w:rPr>
        <w:t>: Menggunakan metode penelitian kuantitatif dengan survei yang melibatkan sejumlah besar responden dapat memberikan data statistik yang lebih kuat dan memungkinkan analisis korelasi antara berbagai faktor yang mempengaruhi penggunaan asesmen formatif.</w:t>
      </w:r>
    </w:p>
    <w:p w14:paraId="1F7E0966"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Studi Longitudinal</w:t>
      </w:r>
      <w:r w:rsidRPr="005A499E">
        <w:rPr>
          <w:rFonts w:ascii="Times New Roman" w:hAnsi="Times New Roman"/>
          <w:color w:val="000000"/>
          <w:sz w:val="24"/>
          <w:szCs w:val="24"/>
        </w:rPr>
        <w:t>: Penelitian jangka panjang dapat dilakukan untuk mengamati perubahan dalam persepsi dan praktik guru terkait asesmen formatif seiring waktu, serta untuk mengevaluasi dampak jangka panjang asesmen formatif terhadap hasil belajar siswa.</w:t>
      </w:r>
    </w:p>
    <w:p w14:paraId="413B4221"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Fokus pada Pengembangan Profesional Guru</w:t>
      </w:r>
      <w:r w:rsidRPr="005A499E">
        <w:rPr>
          <w:rFonts w:ascii="Times New Roman" w:hAnsi="Times New Roman"/>
          <w:color w:val="000000"/>
          <w:sz w:val="24"/>
          <w:szCs w:val="24"/>
        </w:rPr>
        <w:t>: Penelitian dapat difokuskan pada efektivitas program pelatihan dan pengembangan profesional yang dirancang untuk meningkatkan keterampilan guru dalam menerapkan asesmen formatif. Ini termasuk evaluasi terhadap berbagai jenis pelatihan dan dukungan yang diberikan kepada guru.</w:t>
      </w:r>
    </w:p>
    <w:p w14:paraId="1964CF0C"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Eksplorasi Teknologi Pendidikan</w:t>
      </w:r>
      <w:r w:rsidRPr="005A499E">
        <w:rPr>
          <w:rFonts w:ascii="Times New Roman" w:hAnsi="Times New Roman"/>
          <w:color w:val="000000"/>
          <w:sz w:val="24"/>
          <w:szCs w:val="24"/>
        </w:rPr>
        <w:t>: Mengingat pentingnya teknologi dalam pendidikan saat ini, studi selanjutnya bisa mengeksplorasi penggunaan alat dan aplikasi teknologi yang dapat mendukung implementasi asesmen formatif secara lebih efisien dan efektif.</w:t>
      </w:r>
    </w:p>
    <w:p w14:paraId="4B67B7C8"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Pengaruh Lingkungan Sekolah</w:t>
      </w:r>
      <w:r w:rsidRPr="005A499E">
        <w:rPr>
          <w:rFonts w:ascii="Times New Roman" w:hAnsi="Times New Roman"/>
          <w:color w:val="000000"/>
          <w:sz w:val="24"/>
          <w:szCs w:val="24"/>
        </w:rPr>
        <w:t>: Meneliti bagaimana lingkungan sekolah, termasuk dukungan dari kepala sekolah, kebijakan sekolah, dan keterlibatan orang tua, mempengaruhi penerapan asesmen formatif oleh guru.</w:t>
      </w:r>
    </w:p>
    <w:p w14:paraId="650244E0"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lastRenderedPageBreak/>
        <w:t>Studi Komparatif Antar Negara</w:t>
      </w:r>
      <w:r w:rsidRPr="005A499E">
        <w:rPr>
          <w:rFonts w:ascii="Times New Roman" w:hAnsi="Times New Roman"/>
          <w:color w:val="000000"/>
          <w:sz w:val="24"/>
          <w:szCs w:val="24"/>
        </w:rPr>
        <w:t>: Penelitian yang membandingkan penerapan asesmen formatif di berbagai negara atau sistem pendidikan yang berbeda dapat memberikan wawasan tentang praktik terbaik dan tantangan yang dihadapi di berbagai konteks pendidikan.</w:t>
      </w:r>
    </w:p>
    <w:p w14:paraId="231941AF" w14:textId="77777777" w:rsidR="005A499E" w:rsidRPr="005A499E" w:rsidRDefault="005A499E" w:rsidP="005A499E">
      <w:pPr>
        <w:numPr>
          <w:ilvl w:val="0"/>
          <w:numId w:val="3"/>
        </w:numPr>
        <w:pBdr>
          <w:top w:val="nil"/>
          <w:left w:val="nil"/>
          <w:bottom w:val="nil"/>
          <w:right w:val="nil"/>
          <w:between w:val="nil"/>
        </w:pBdr>
        <w:tabs>
          <w:tab w:val="clear" w:pos="720"/>
        </w:tabs>
        <w:spacing w:after="0" w:line="240" w:lineRule="auto"/>
        <w:ind w:left="284" w:hanging="284"/>
        <w:jc w:val="both"/>
        <w:rPr>
          <w:rFonts w:ascii="Times New Roman" w:hAnsi="Times New Roman"/>
          <w:color w:val="000000"/>
          <w:sz w:val="24"/>
          <w:szCs w:val="24"/>
        </w:rPr>
      </w:pPr>
      <w:r w:rsidRPr="005A499E">
        <w:rPr>
          <w:rFonts w:ascii="Times New Roman" w:hAnsi="Times New Roman"/>
          <w:bCs/>
          <w:color w:val="000000"/>
          <w:sz w:val="24"/>
          <w:szCs w:val="24"/>
        </w:rPr>
        <w:t>Analisis Dampak terhadap Siswa</w:t>
      </w:r>
      <w:r w:rsidRPr="005A499E">
        <w:rPr>
          <w:rFonts w:ascii="Times New Roman" w:hAnsi="Times New Roman"/>
          <w:color w:val="000000"/>
          <w:sz w:val="24"/>
          <w:szCs w:val="24"/>
        </w:rPr>
        <w:t>: Selain fokus pada guru, penelitian juga bisa mengeksplorasi perspektif siswa mengenai asesmen formatif, termasuk bagaimana mereka merespons umpan balik dan bagaimana hal ini mempengaruhi motivasi dan pencapaian akademik mereka.</w:t>
      </w:r>
    </w:p>
    <w:p w14:paraId="1AF9972A" w14:textId="77777777" w:rsidR="005A499E" w:rsidRDefault="005A499E" w:rsidP="005A499E">
      <w:pPr>
        <w:pBdr>
          <w:top w:val="nil"/>
          <w:left w:val="nil"/>
          <w:bottom w:val="nil"/>
          <w:right w:val="nil"/>
          <w:between w:val="nil"/>
        </w:pBdr>
        <w:spacing w:after="0" w:line="240" w:lineRule="auto"/>
        <w:ind w:firstLine="567"/>
        <w:jc w:val="both"/>
        <w:rPr>
          <w:rFonts w:ascii="Times New Roman" w:hAnsi="Times New Roman"/>
          <w:color w:val="000000"/>
          <w:sz w:val="24"/>
          <w:szCs w:val="24"/>
        </w:rPr>
      </w:pPr>
    </w:p>
    <w:p w14:paraId="7428EFC2" w14:textId="77777777" w:rsidR="005A499E" w:rsidRPr="005A499E" w:rsidRDefault="005A499E" w:rsidP="005A499E">
      <w:pPr>
        <w:pBdr>
          <w:top w:val="nil"/>
          <w:left w:val="nil"/>
          <w:bottom w:val="nil"/>
          <w:right w:val="nil"/>
          <w:between w:val="nil"/>
        </w:pBdr>
        <w:spacing w:after="0" w:line="240" w:lineRule="auto"/>
        <w:ind w:firstLine="567"/>
        <w:jc w:val="both"/>
        <w:rPr>
          <w:rFonts w:ascii="Times New Roman" w:hAnsi="Times New Roman"/>
          <w:color w:val="000000"/>
          <w:sz w:val="24"/>
          <w:szCs w:val="24"/>
        </w:rPr>
      </w:pPr>
      <w:r w:rsidRPr="005A499E">
        <w:rPr>
          <w:rFonts w:ascii="Times New Roman" w:hAnsi="Times New Roman"/>
          <w:color w:val="000000"/>
          <w:sz w:val="24"/>
          <w:szCs w:val="24"/>
        </w:rPr>
        <w:t>Dengan memperhatikan saran-saran ini, penelitian selanjutnya dapat memberikan kontribusi yang lebih mendalam dan luas dalam memahami dan mengembangkan penggunaan asesmen formatif dalam pembelajaran matematika di tingkat SMP.</w:t>
      </w:r>
    </w:p>
    <w:p w14:paraId="6182ECF2" w14:textId="77777777" w:rsidR="00DF5571" w:rsidRDefault="00DF5571" w:rsidP="005A499E">
      <w:pPr>
        <w:pBdr>
          <w:top w:val="nil"/>
          <w:left w:val="nil"/>
          <w:bottom w:val="nil"/>
          <w:right w:val="nil"/>
          <w:between w:val="nil"/>
        </w:pBdr>
        <w:spacing w:after="0" w:line="240" w:lineRule="auto"/>
        <w:ind w:firstLine="567"/>
        <w:jc w:val="both"/>
        <w:rPr>
          <w:rFonts w:ascii="Times New Roman" w:hAnsi="Times New Roman"/>
          <w:color w:val="000000"/>
          <w:sz w:val="24"/>
          <w:szCs w:val="24"/>
        </w:rPr>
      </w:pPr>
    </w:p>
    <w:p w14:paraId="76C8E956" w14:textId="77777777" w:rsidR="00AB3AF9" w:rsidRDefault="00945FF6" w:rsidP="00AB3AF9">
      <w:pPr>
        <w:pBdr>
          <w:top w:val="nil"/>
          <w:left w:val="nil"/>
          <w:bottom w:val="nil"/>
          <w:right w:val="nil"/>
          <w:between w:val="nil"/>
        </w:pBdr>
        <w:spacing w:before="240" w:after="0" w:line="360" w:lineRule="auto"/>
        <w:rPr>
          <w:rFonts w:ascii="Times New Roman" w:hAnsi="Times New Roman"/>
          <w:b/>
          <w:color w:val="000000"/>
          <w:sz w:val="24"/>
          <w:szCs w:val="24"/>
        </w:rPr>
      </w:pPr>
      <w:r>
        <w:rPr>
          <w:rFonts w:ascii="Times New Roman" w:hAnsi="Times New Roman"/>
          <w:b/>
          <w:color w:val="000000"/>
          <w:sz w:val="24"/>
          <w:szCs w:val="24"/>
        </w:rPr>
        <w:t>Daftar Pustaka</w:t>
      </w:r>
    </w:p>
    <w:p w14:paraId="14AC77E3"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b/>
          <w:color w:val="000000"/>
          <w:sz w:val="24"/>
          <w:szCs w:val="24"/>
        </w:rPr>
        <w:fldChar w:fldCharType="begin" w:fldLock="1"/>
      </w:r>
      <w:r w:rsidRPr="00AB3AF9">
        <w:rPr>
          <w:rFonts w:ascii="Times New Roman" w:hAnsi="Times New Roman"/>
          <w:b/>
          <w:color w:val="000000"/>
          <w:sz w:val="24"/>
          <w:szCs w:val="24"/>
        </w:rPr>
        <w:instrText xml:space="preserve">ADDIN Mendeley Bibliography CSL_BIBLIOGRAPHY </w:instrText>
      </w:r>
      <w:r w:rsidRPr="00AB3AF9">
        <w:rPr>
          <w:rFonts w:ascii="Times New Roman" w:hAnsi="Times New Roman"/>
          <w:b/>
          <w:color w:val="000000"/>
          <w:sz w:val="24"/>
          <w:szCs w:val="24"/>
        </w:rPr>
        <w:fldChar w:fldCharType="separate"/>
      </w:r>
      <w:r w:rsidRPr="00AB3AF9">
        <w:rPr>
          <w:rFonts w:ascii="Times New Roman" w:hAnsi="Times New Roman"/>
          <w:color w:val="000000"/>
          <w:sz w:val="24"/>
          <w:szCs w:val="24"/>
        </w:rPr>
        <w:t xml:space="preserve">Alotabi, K. A. (2014). Student Assessment Strategies in Saudi Arabia: A Case Study of Pre and Post Classroom Practices. </w:t>
      </w:r>
      <w:r w:rsidRPr="00AB3AF9">
        <w:rPr>
          <w:rFonts w:ascii="Times New Roman" w:hAnsi="Times New Roman"/>
          <w:i/>
          <w:iCs/>
          <w:color w:val="000000"/>
          <w:sz w:val="24"/>
          <w:szCs w:val="24"/>
        </w:rPr>
        <w:t>Literacy Information and Computer Education Journal</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Special 3</w:t>
      </w:r>
      <w:r w:rsidRPr="00AB3AF9">
        <w:rPr>
          <w:rFonts w:ascii="Times New Roman" w:hAnsi="Times New Roman"/>
          <w:color w:val="000000"/>
          <w:sz w:val="24"/>
          <w:szCs w:val="24"/>
        </w:rPr>
        <w:t>(1), 1758–1763. https://doi.org/10.20533/licej.2040.2589.2014.0234</w:t>
      </w:r>
    </w:p>
    <w:p w14:paraId="37800BD1"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Alsubaiai, H. S. M. (2021). Teachers’ Perception towards Formative Assessment in Saudi Universities’ Context: A Review of Literature. </w:t>
      </w:r>
      <w:r w:rsidRPr="00AB3AF9">
        <w:rPr>
          <w:rFonts w:ascii="Times New Roman" w:hAnsi="Times New Roman"/>
          <w:i/>
          <w:iCs/>
          <w:color w:val="000000"/>
          <w:sz w:val="24"/>
          <w:szCs w:val="24"/>
        </w:rPr>
        <w:t>English Language Teaching</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14</w:t>
      </w:r>
      <w:r w:rsidRPr="00AB3AF9">
        <w:rPr>
          <w:rFonts w:ascii="Times New Roman" w:hAnsi="Times New Roman"/>
          <w:color w:val="000000"/>
          <w:sz w:val="24"/>
          <w:szCs w:val="24"/>
        </w:rPr>
        <w:t>(7), 107. https://doi.org/10.5539/elt.v14n7p107</w:t>
      </w:r>
    </w:p>
    <w:p w14:paraId="46522E49"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Asare, E. (2020). Basic teachers’ perceptions and practices of formative assessment in the cape coast metropolis of ghana. </w:t>
      </w:r>
      <w:r w:rsidRPr="00AB3AF9">
        <w:rPr>
          <w:rFonts w:ascii="Times New Roman" w:hAnsi="Times New Roman"/>
          <w:i/>
          <w:iCs/>
          <w:color w:val="000000"/>
          <w:sz w:val="24"/>
          <w:szCs w:val="24"/>
        </w:rPr>
        <w:t>Jaepr</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5</w:t>
      </w:r>
      <w:r w:rsidRPr="00AB3AF9">
        <w:rPr>
          <w:rFonts w:ascii="Times New Roman" w:hAnsi="Times New Roman"/>
          <w:color w:val="000000"/>
          <w:sz w:val="24"/>
          <w:szCs w:val="24"/>
        </w:rPr>
        <w:t>(1), 177–187.</w:t>
      </w:r>
    </w:p>
    <w:p w14:paraId="59C68CCC"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Black, P., &amp; Wiliam, D. (1998). Assessment and classroom learning. In </w:t>
      </w:r>
      <w:r w:rsidRPr="00AB3AF9">
        <w:rPr>
          <w:rFonts w:ascii="Times New Roman" w:hAnsi="Times New Roman"/>
          <w:i/>
          <w:iCs/>
          <w:color w:val="000000"/>
          <w:sz w:val="24"/>
          <w:szCs w:val="24"/>
        </w:rPr>
        <w:t>International Journal of Phytoremediation</w:t>
      </w:r>
      <w:r w:rsidRPr="00AB3AF9">
        <w:rPr>
          <w:rFonts w:ascii="Times New Roman" w:hAnsi="Times New Roman"/>
          <w:color w:val="000000"/>
          <w:sz w:val="24"/>
          <w:szCs w:val="24"/>
        </w:rPr>
        <w:t xml:space="preserve"> (Vol. 21, Issue 1). https://doi.org/10.1080/0969595980050102</w:t>
      </w:r>
    </w:p>
    <w:p w14:paraId="311445A0"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Black, &amp; William. (2004). </w:t>
      </w:r>
      <w:r w:rsidRPr="00AB3AF9">
        <w:rPr>
          <w:rFonts w:ascii="Times New Roman" w:hAnsi="Times New Roman"/>
          <w:i/>
          <w:iCs/>
          <w:color w:val="000000"/>
          <w:sz w:val="24"/>
          <w:szCs w:val="24"/>
        </w:rPr>
        <w:t>Assessment for Learning in the Classroom</w:t>
      </w:r>
      <w:r w:rsidRPr="00AB3AF9">
        <w:rPr>
          <w:rFonts w:ascii="Times New Roman" w:hAnsi="Times New Roman"/>
          <w:color w:val="000000"/>
          <w:sz w:val="24"/>
          <w:szCs w:val="24"/>
        </w:rPr>
        <w:t>.</w:t>
      </w:r>
    </w:p>
    <w:p w14:paraId="71BFEAF5"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Frankel, J. R., Wallen, N. E., &amp; Hyun, H. H. (2012). </w:t>
      </w:r>
      <w:r w:rsidRPr="00AB3AF9">
        <w:rPr>
          <w:rFonts w:ascii="Times New Roman" w:hAnsi="Times New Roman"/>
          <w:i/>
          <w:iCs/>
          <w:color w:val="000000"/>
          <w:sz w:val="24"/>
          <w:szCs w:val="24"/>
        </w:rPr>
        <w:t>HOW TO DESIGN AND EVALUATE RESEARCH IN EDUCATION</w:t>
      </w:r>
      <w:r w:rsidRPr="00AB3AF9">
        <w:rPr>
          <w:rFonts w:ascii="Times New Roman" w:hAnsi="Times New Roman"/>
          <w:color w:val="000000"/>
          <w:sz w:val="24"/>
          <w:szCs w:val="24"/>
        </w:rPr>
        <w:t>.</w:t>
      </w:r>
    </w:p>
    <w:p w14:paraId="6AA59F0E"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Huinker, D., &amp; Freckmann, J. (2009). Linking principles of formative assessment to classroom practice. </w:t>
      </w:r>
      <w:r w:rsidRPr="00AB3AF9">
        <w:rPr>
          <w:rFonts w:ascii="Times New Roman" w:hAnsi="Times New Roman"/>
          <w:i/>
          <w:iCs/>
          <w:color w:val="000000"/>
          <w:sz w:val="24"/>
          <w:szCs w:val="24"/>
        </w:rPr>
        <w:t>Wisconsin Teacher of Mathematicvs</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60</w:t>
      </w:r>
      <w:r w:rsidRPr="00AB3AF9">
        <w:rPr>
          <w:rFonts w:ascii="Times New Roman" w:hAnsi="Times New Roman"/>
          <w:color w:val="000000"/>
          <w:sz w:val="24"/>
          <w:szCs w:val="24"/>
        </w:rPr>
        <w:t>, 6–11. papers3://publication/uuid/570E9425-CD25-4EB4-A2E1-DA50856694AB</w:t>
      </w:r>
    </w:p>
    <w:p w14:paraId="6ED3C535"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Karim, B. H. H. (2015). International Journal of Humanities Social Sciences and Education ( IJHSSE ) The Impact of Teachers ’ Beliefs and Perceptions about Formative Assessment in the University ESL Class. </w:t>
      </w:r>
      <w:r w:rsidRPr="00AB3AF9">
        <w:rPr>
          <w:rFonts w:ascii="Times New Roman" w:hAnsi="Times New Roman"/>
          <w:i/>
          <w:iCs/>
          <w:color w:val="000000"/>
          <w:sz w:val="24"/>
          <w:szCs w:val="24"/>
        </w:rPr>
        <w:t>International Journal of Humanities Social Sciences and Evaluation (IJHSSE)</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2</w:t>
      </w:r>
      <w:r w:rsidRPr="00AB3AF9">
        <w:rPr>
          <w:rFonts w:ascii="Times New Roman" w:hAnsi="Times New Roman"/>
          <w:color w:val="000000"/>
          <w:sz w:val="24"/>
          <w:szCs w:val="24"/>
        </w:rPr>
        <w:t>(3), 108–115.</w:t>
      </w:r>
    </w:p>
    <w:p w14:paraId="4D417C63"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McNeill, H., &amp; Polly, D. (2023). Exploring Primary Grades Teachers’ Perceptions of Their Students’ Mathematics Self-Efficacy and How They Differentiate Instruction. </w:t>
      </w:r>
      <w:r w:rsidRPr="00AB3AF9">
        <w:rPr>
          <w:rFonts w:ascii="Times New Roman" w:hAnsi="Times New Roman"/>
          <w:i/>
          <w:iCs/>
          <w:color w:val="000000"/>
          <w:sz w:val="24"/>
          <w:szCs w:val="24"/>
        </w:rPr>
        <w:t>Early Childhood Education Journal</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51</w:t>
      </w:r>
      <w:r w:rsidRPr="00AB3AF9">
        <w:rPr>
          <w:rFonts w:ascii="Times New Roman" w:hAnsi="Times New Roman"/>
          <w:color w:val="000000"/>
          <w:sz w:val="24"/>
          <w:szCs w:val="24"/>
        </w:rPr>
        <w:t>(1), 79–88. https://doi.org/10.1007/s10643-021-01281-3</w:t>
      </w:r>
    </w:p>
    <w:p w14:paraId="644DBECD"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McTighe, J., Wiggins, G., Warso, A. W. D. D., Zahroh, S. H., Parno, Mufti, N., &amp; Anggraena, Y. (2017). Panduan Pembelajaran dan Asesmen. </w:t>
      </w:r>
      <w:r w:rsidRPr="00AB3AF9">
        <w:rPr>
          <w:rFonts w:ascii="Times New Roman" w:hAnsi="Times New Roman"/>
          <w:i/>
          <w:iCs/>
          <w:color w:val="000000"/>
          <w:sz w:val="24"/>
          <w:szCs w:val="24"/>
        </w:rPr>
        <w:t xml:space="preserve">Badan Standar, Kurikulum, Dan Asesmen </w:t>
      </w:r>
      <w:r w:rsidRPr="00AB3AF9">
        <w:rPr>
          <w:rFonts w:ascii="Times New Roman" w:hAnsi="Times New Roman"/>
          <w:i/>
          <w:iCs/>
          <w:color w:val="000000"/>
          <w:sz w:val="24"/>
          <w:szCs w:val="24"/>
        </w:rPr>
        <w:lastRenderedPageBreak/>
        <w:t>Pendidikan Kementerian Pendidikan, Kebudayaan, Riset, Dan Teknologi Republik Indonesia</w:t>
      </w:r>
      <w:r w:rsidRPr="00AB3AF9">
        <w:rPr>
          <w:rFonts w:ascii="Times New Roman" w:hAnsi="Times New Roman"/>
          <w:color w:val="000000"/>
          <w:sz w:val="24"/>
          <w:szCs w:val="24"/>
        </w:rPr>
        <w:t>, 123.</w:t>
      </w:r>
    </w:p>
    <w:p w14:paraId="159D9A56"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Morris, J. G. (2022). Uses of Educational Technology for Formative Evaluation. </w:t>
      </w:r>
      <w:r w:rsidRPr="00AB3AF9">
        <w:rPr>
          <w:rFonts w:ascii="Times New Roman" w:hAnsi="Times New Roman"/>
          <w:i/>
          <w:iCs/>
          <w:color w:val="000000"/>
          <w:sz w:val="24"/>
          <w:szCs w:val="24"/>
        </w:rPr>
        <w:t>Journal of Educational Television</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1</w:t>
      </w:r>
      <w:r w:rsidRPr="00AB3AF9">
        <w:rPr>
          <w:rFonts w:ascii="Times New Roman" w:hAnsi="Times New Roman"/>
          <w:color w:val="000000"/>
          <w:sz w:val="24"/>
          <w:szCs w:val="24"/>
        </w:rPr>
        <w:t>(2), 26–27. https://doi.org/10.1080/1358165750010212</w:t>
      </w:r>
    </w:p>
    <w:p w14:paraId="5A36A33E" w14:textId="77777777" w:rsidR="00AB3AF9" w:rsidRPr="00AB3AF9" w:rsidRDefault="00AB3AF9" w:rsidP="00AB3AF9">
      <w:pPr>
        <w:pBdr>
          <w:top w:val="nil"/>
          <w:left w:val="nil"/>
          <w:bottom w:val="nil"/>
          <w:right w:val="nil"/>
          <w:between w:val="nil"/>
        </w:pBdr>
        <w:ind w:left="426" w:hanging="426"/>
        <w:jc w:val="both"/>
        <w:rPr>
          <w:rFonts w:ascii="Times New Roman" w:hAnsi="Times New Roman"/>
          <w:color w:val="000000"/>
          <w:sz w:val="24"/>
          <w:szCs w:val="24"/>
        </w:rPr>
      </w:pPr>
      <w:r w:rsidRPr="00AB3AF9">
        <w:rPr>
          <w:rFonts w:ascii="Times New Roman" w:hAnsi="Times New Roman"/>
          <w:color w:val="000000"/>
          <w:sz w:val="24"/>
          <w:szCs w:val="24"/>
        </w:rPr>
        <w:t xml:space="preserve">Sach, E. (2012). Teachers and testing: An investigation into teachers’ perceptions of formative assessment. </w:t>
      </w:r>
      <w:r w:rsidRPr="00AB3AF9">
        <w:rPr>
          <w:rFonts w:ascii="Times New Roman" w:hAnsi="Times New Roman"/>
          <w:i/>
          <w:iCs/>
          <w:color w:val="000000"/>
          <w:sz w:val="24"/>
          <w:szCs w:val="24"/>
        </w:rPr>
        <w:t>Educational Studies</w:t>
      </w:r>
      <w:r w:rsidRPr="00AB3AF9">
        <w:rPr>
          <w:rFonts w:ascii="Times New Roman" w:hAnsi="Times New Roman"/>
          <w:color w:val="000000"/>
          <w:sz w:val="24"/>
          <w:szCs w:val="24"/>
        </w:rPr>
        <w:t xml:space="preserve">, </w:t>
      </w:r>
      <w:r w:rsidRPr="00AB3AF9">
        <w:rPr>
          <w:rFonts w:ascii="Times New Roman" w:hAnsi="Times New Roman"/>
          <w:i/>
          <w:iCs/>
          <w:color w:val="000000"/>
          <w:sz w:val="24"/>
          <w:szCs w:val="24"/>
        </w:rPr>
        <w:t>38</w:t>
      </w:r>
      <w:r w:rsidRPr="00AB3AF9">
        <w:rPr>
          <w:rFonts w:ascii="Times New Roman" w:hAnsi="Times New Roman"/>
          <w:color w:val="000000"/>
          <w:sz w:val="24"/>
          <w:szCs w:val="24"/>
        </w:rPr>
        <w:t>(3), 261–276. https://doi.org/10.1080/03055698.2011.598684</w:t>
      </w:r>
    </w:p>
    <w:p w14:paraId="7D215EBB" w14:textId="77777777" w:rsidR="005A499E" w:rsidRDefault="00AB3AF9" w:rsidP="00AB3AF9">
      <w:pPr>
        <w:pBdr>
          <w:top w:val="nil"/>
          <w:left w:val="nil"/>
          <w:bottom w:val="nil"/>
          <w:right w:val="nil"/>
          <w:between w:val="nil"/>
        </w:pBdr>
        <w:ind w:left="426" w:hanging="426"/>
        <w:jc w:val="both"/>
        <w:rPr>
          <w:color w:val="000000"/>
          <w:sz w:val="24"/>
          <w:szCs w:val="24"/>
        </w:rPr>
      </w:pPr>
      <w:r w:rsidRPr="00AB3AF9">
        <w:rPr>
          <w:rFonts w:ascii="Times New Roman" w:hAnsi="Times New Roman"/>
          <w:color w:val="000000"/>
          <w:sz w:val="24"/>
          <w:szCs w:val="24"/>
        </w:rPr>
        <w:fldChar w:fldCharType="end"/>
      </w:r>
    </w:p>
    <w:p w14:paraId="043C2AA4" w14:textId="77777777" w:rsidR="00DF5571" w:rsidRDefault="00DF5571">
      <w:pPr>
        <w:spacing w:after="0" w:line="240" w:lineRule="auto"/>
        <w:ind w:left="709" w:hanging="709"/>
        <w:jc w:val="both"/>
        <w:rPr>
          <w:rFonts w:ascii="Book Antiqua" w:eastAsia="Book Antiqua" w:hAnsi="Book Antiqua" w:cs="Book Antiqua"/>
          <w:sz w:val="24"/>
          <w:szCs w:val="24"/>
        </w:rPr>
      </w:pPr>
    </w:p>
    <w:sectPr w:rsidR="00DF5571" w:rsidSect="004E5DCE">
      <w:headerReference w:type="default" r:id="rId13"/>
      <w:footerReference w:type="default" r:id="rId14"/>
      <w:headerReference w:type="first" r:id="rId15"/>
      <w:footerReference w:type="first" r:id="rId16"/>
      <w:pgSz w:w="11907" w:h="16840"/>
      <w:pgMar w:top="1440" w:right="1440" w:bottom="1440" w:left="1440" w:header="426"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4247" w14:textId="77777777" w:rsidR="003D57BA" w:rsidRDefault="003D57BA">
      <w:pPr>
        <w:spacing w:after="0" w:line="240" w:lineRule="auto"/>
      </w:pPr>
      <w:r>
        <w:separator/>
      </w:r>
    </w:p>
  </w:endnote>
  <w:endnote w:type="continuationSeparator" w:id="0">
    <w:p w14:paraId="65862D12" w14:textId="77777777" w:rsidR="003D57BA" w:rsidRDefault="003D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E2F7C" w14:textId="77777777" w:rsidR="004E5DCE" w:rsidRPr="004E5DCE" w:rsidRDefault="004E5DCE" w:rsidP="004E5DCE">
    <w:pPr>
      <w:pBdr>
        <w:top w:val="nil"/>
        <w:left w:val="nil"/>
        <w:bottom w:val="nil"/>
        <w:right w:val="nil"/>
        <w:between w:val="nil"/>
      </w:pBdr>
      <w:tabs>
        <w:tab w:val="center" w:pos="4680"/>
        <w:tab w:val="right" w:pos="9360"/>
      </w:tabs>
      <w:spacing w:after="0" w:line="240" w:lineRule="auto"/>
      <w:jc w:val="both"/>
      <w:rPr>
        <w:rFonts w:ascii="Times New Roman" w:hAnsi="Times New Roman"/>
        <w:i/>
        <w:color w:val="000000"/>
        <w:sz w:val="20"/>
        <w:szCs w:val="20"/>
      </w:rPr>
    </w:pPr>
    <w:r w:rsidRPr="004E5DCE">
      <w:rPr>
        <w:rFonts w:ascii="Times New Roman" w:hAnsi="Times New Roman"/>
        <w:i/>
        <w:color w:val="000000"/>
        <w:sz w:val="20"/>
        <w:szCs w:val="20"/>
      </w:rPr>
      <w:t xml:space="preserve">PERSEPSI GURU TERHADAP PENGGUNAAN ASESMEN FORMATIF </w:t>
    </w:r>
    <w:r>
      <w:rPr>
        <w:rFonts w:ascii="Times New Roman" w:hAnsi="Times New Roman"/>
        <w:i/>
        <w:color w:val="000000"/>
        <w:sz w:val="20"/>
        <w:szCs w:val="20"/>
      </w:rPr>
      <w:t xml:space="preserve">DALAM PEMBELAJARAN </w:t>
    </w:r>
    <w:r w:rsidRPr="004E5DCE">
      <w:rPr>
        <w:rFonts w:ascii="Times New Roman" w:hAnsi="Times New Roman"/>
        <w:i/>
        <w:color w:val="000000"/>
        <w:sz w:val="20"/>
        <w:szCs w:val="20"/>
      </w:rPr>
      <w:t>MATEMATIKA MATERI SPLDV DI SEKOLAH MENENGAH PERTAMA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A2A2" w14:textId="77777777" w:rsidR="004E5DCE" w:rsidRPr="004E5DCE" w:rsidRDefault="004E5DCE" w:rsidP="004E5DCE">
    <w:pPr>
      <w:pBdr>
        <w:top w:val="nil"/>
        <w:left w:val="nil"/>
        <w:bottom w:val="nil"/>
        <w:right w:val="nil"/>
        <w:between w:val="nil"/>
      </w:pBdr>
      <w:tabs>
        <w:tab w:val="center" w:pos="4680"/>
        <w:tab w:val="right" w:pos="9360"/>
      </w:tabs>
      <w:spacing w:after="0" w:line="240" w:lineRule="auto"/>
      <w:jc w:val="both"/>
      <w:rPr>
        <w:rFonts w:ascii="Times New Roman" w:hAnsi="Times New Roman"/>
        <w:i/>
        <w:color w:val="000000"/>
        <w:sz w:val="20"/>
        <w:szCs w:val="20"/>
      </w:rPr>
    </w:pPr>
    <w:r w:rsidRPr="004E5DCE">
      <w:rPr>
        <w:rFonts w:ascii="Times New Roman" w:hAnsi="Times New Roman"/>
        <w:i/>
        <w:color w:val="000000"/>
        <w:sz w:val="20"/>
        <w:szCs w:val="20"/>
      </w:rPr>
      <w:t xml:space="preserve">PERSEPSI GURU TERHADAP PENGGUNAAN ASESMEN FORMATIF </w:t>
    </w:r>
    <w:r>
      <w:rPr>
        <w:rFonts w:ascii="Times New Roman" w:hAnsi="Times New Roman"/>
        <w:i/>
        <w:color w:val="000000"/>
        <w:sz w:val="20"/>
        <w:szCs w:val="20"/>
      </w:rPr>
      <w:t xml:space="preserve">DALAM PEMBELAJARAN </w:t>
    </w:r>
    <w:r w:rsidRPr="004E5DCE">
      <w:rPr>
        <w:rFonts w:ascii="Times New Roman" w:hAnsi="Times New Roman"/>
        <w:i/>
        <w:color w:val="000000"/>
        <w:sz w:val="20"/>
        <w:szCs w:val="20"/>
      </w:rPr>
      <w:t>MATEMATIKA MATERI SPLDV DI SEKOLAH MENENGAH PERTAMA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A337" w14:textId="77777777" w:rsidR="003D57BA" w:rsidRDefault="003D57BA">
      <w:pPr>
        <w:spacing w:after="0" w:line="240" w:lineRule="auto"/>
      </w:pPr>
      <w:r>
        <w:separator/>
      </w:r>
    </w:p>
  </w:footnote>
  <w:footnote w:type="continuationSeparator" w:id="0">
    <w:p w14:paraId="6D0580CF" w14:textId="77777777" w:rsidR="003D57BA" w:rsidRDefault="003D5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7F82" w14:textId="77777777" w:rsidR="004E5DCE" w:rsidRDefault="004E5DCE" w:rsidP="004E5DCE">
    <w:pPr>
      <w:pBdr>
        <w:top w:val="nil"/>
        <w:left w:val="nil"/>
        <w:bottom w:val="nil"/>
        <w:right w:val="nil"/>
        <w:between w:val="nil"/>
      </w:pBdr>
      <w:tabs>
        <w:tab w:val="center" w:pos="4680"/>
        <w:tab w:val="right" w:pos="9360"/>
      </w:tabs>
      <w:spacing w:after="0" w:line="240" w:lineRule="auto"/>
      <w:jc w:val="right"/>
      <w:rPr>
        <w:rFonts w:ascii="Times New Roman" w:hAnsi="Times New Roman"/>
        <w:b/>
        <w:color w:val="000000"/>
        <w:sz w:val="22"/>
        <w:szCs w:val="22"/>
      </w:rPr>
    </w:pPr>
  </w:p>
  <w:p w14:paraId="59358F5E" w14:textId="77777777" w:rsidR="004E5DCE" w:rsidRDefault="004E5DCE" w:rsidP="004E5DCE">
    <w:pPr>
      <w:pBdr>
        <w:top w:val="nil"/>
        <w:left w:val="nil"/>
        <w:bottom w:val="nil"/>
        <w:right w:val="nil"/>
        <w:between w:val="nil"/>
      </w:pBdr>
      <w:tabs>
        <w:tab w:val="center" w:pos="4680"/>
        <w:tab w:val="right" w:pos="9360"/>
      </w:tabs>
      <w:spacing w:after="0" w:line="240" w:lineRule="auto"/>
      <w:jc w:val="right"/>
      <w:rPr>
        <w:rFonts w:ascii="Times New Roman" w:hAnsi="Times New Roman"/>
        <w:b/>
        <w:color w:val="000000"/>
        <w:sz w:val="22"/>
        <w:szCs w:val="22"/>
      </w:rPr>
    </w:pPr>
    <w:r>
      <w:rPr>
        <w:rFonts w:ascii="Times New Roman" w:hAnsi="Times New Roman"/>
        <w:b/>
        <w:color w:val="000000"/>
        <w:sz w:val="22"/>
        <w:szCs w:val="22"/>
      </w:rPr>
      <w:t>SIGMA: Jurnal Pendidikan Matematika, Vol (No), Tahun</w:t>
    </w:r>
  </w:p>
  <w:p w14:paraId="76C9EDC6" w14:textId="77777777" w:rsidR="004E5DCE" w:rsidRPr="004E5DCE" w:rsidRDefault="004E5DCE" w:rsidP="004E5DCE">
    <w:pPr>
      <w:pBdr>
        <w:top w:val="nil"/>
        <w:left w:val="nil"/>
        <w:bottom w:val="nil"/>
        <w:right w:val="nil"/>
        <w:between w:val="nil"/>
      </w:pBdr>
      <w:tabs>
        <w:tab w:val="center" w:pos="4680"/>
        <w:tab w:val="right" w:pos="9360"/>
      </w:tabs>
      <w:spacing w:after="0" w:line="240" w:lineRule="auto"/>
      <w:jc w:val="right"/>
      <w:rPr>
        <w:rFonts w:ascii="Times New Roman" w:hAnsi="Times New Roman"/>
        <w:color w:val="000000"/>
        <w:sz w:val="28"/>
        <w:szCs w:val="28"/>
      </w:rPr>
    </w:pPr>
    <w:r w:rsidRPr="004E5DCE">
      <w:rPr>
        <w:rFonts w:ascii="Times New Roman" w:hAnsi="Times New Roman"/>
        <w:color w:val="000000"/>
        <w:sz w:val="22"/>
        <w:szCs w:val="22"/>
      </w:rPr>
      <w:t>Linda Ramadhanty Januar</w:t>
    </w:r>
    <w:r>
      <w:rPr>
        <w:rFonts w:ascii="Times New Roman" w:hAnsi="Times New Roman"/>
        <w:color w:val="000000"/>
        <w:sz w:val="22"/>
        <w:szCs w:val="22"/>
        <w:vertAlign w:val="superscript"/>
      </w:rPr>
      <w:t>1</w:t>
    </w:r>
  </w:p>
  <w:p w14:paraId="3BB3C2F6" w14:textId="77777777" w:rsidR="00DF5571" w:rsidRPr="004E5DCE" w:rsidRDefault="00DF5571" w:rsidP="004E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E7E6" w14:textId="77777777" w:rsidR="004E5DCE" w:rsidRDefault="004E5DCE" w:rsidP="004E5DCE">
    <w:pPr>
      <w:pBdr>
        <w:top w:val="nil"/>
        <w:left w:val="nil"/>
        <w:bottom w:val="nil"/>
        <w:right w:val="nil"/>
        <w:between w:val="nil"/>
      </w:pBdr>
      <w:tabs>
        <w:tab w:val="center" w:pos="4680"/>
        <w:tab w:val="right" w:pos="9360"/>
        <w:tab w:val="left" w:pos="1350"/>
      </w:tabs>
      <w:spacing w:after="0" w:line="240" w:lineRule="auto"/>
      <w:jc w:val="center"/>
      <w:rPr>
        <w:rFonts w:ascii="Times New Roman" w:hAnsi="Times New Roman"/>
        <w:b/>
        <w:color w:val="000000"/>
        <w:sz w:val="28"/>
        <w:szCs w:val="28"/>
      </w:rPr>
    </w:pPr>
  </w:p>
  <w:p w14:paraId="7CE35BB6" w14:textId="77777777" w:rsidR="004E5DCE" w:rsidRDefault="004E5DCE" w:rsidP="004E5DCE">
    <w:pPr>
      <w:pBdr>
        <w:top w:val="nil"/>
        <w:left w:val="nil"/>
        <w:bottom w:val="nil"/>
        <w:right w:val="nil"/>
        <w:between w:val="nil"/>
      </w:pBdr>
      <w:tabs>
        <w:tab w:val="center" w:pos="4680"/>
        <w:tab w:val="right" w:pos="9360"/>
        <w:tab w:val="left" w:pos="135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SIGMA: JURNAL PENDIDIKAN MATEMATIKA</w:t>
    </w:r>
    <w:r>
      <w:rPr>
        <w:noProof/>
        <w:lang w:val="id-ID"/>
      </w:rPr>
      <w:drawing>
        <wp:anchor distT="0" distB="0" distL="0" distR="0" simplePos="0" relativeHeight="251659264" behindDoc="1" locked="0" layoutInCell="1" hidden="0" allowOverlap="1" wp14:anchorId="40F759BA" wp14:editId="6C39F9E0">
          <wp:simplePos x="0" y="0"/>
          <wp:positionH relativeFrom="column">
            <wp:posOffset>120015</wp:posOffset>
          </wp:positionH>
          <wp:positionV relativeFrom="paragraph">
            <wp:posOffset>-3173</wp:posOffset>
          </wp:positionV>
          <wp:extent cx="514350" cy="727475"/>
          <wp:effectExtent l="0" t="0" r="0" b="0"/>
          <wp:wrapNone/>
          <wp:docPr id="156700594" name="image1.jpg" descr="D:\Jurnal Sigma\Vol 12 No 2 Desember 2020\Cover depan template.jpg"/>
          <wp:cNvGraphicFramePr/>
          <a:graphic xmlns:a="http://schemas.openxmlformats.org/drawingml/2006/main">
            <a:graphicData uri="http://schemas.openxmlformats.org/drawingml/2006/picture">
              <pic:pic xmlns:pic="http://schemas.openxmlformats.org/drawingml/2006/picture">
                <pic:nvPicPr>
                  <pic:cNvPr id="0" name="image1.jpg" descr="D:\Jurnal Sigma\Vol 12 No 2 Desember 2020\Cover depan template.jpg"/>
                  <pic:cNvPicPr preferRelativeResize="0"/>
                </pic:nvPicPr>
                <pic:blipFill>
                  <a:blip r:embed="rId1"/>
                  <a:srcRect/>
                  <a:stretch>
                    <a:fillRect/>
                  </a:stretch>
                </pic:blipFill>
                <pic:spPr>
                  <a:xfrm>
                    <a:off x="0" y="0"/>
                    <a:ext cx="514350" cy="727475"/>
                  </a:xfrm>
                  <a:prstGeom prst="rect">
                    <a:avLst/>
                  </a:prstGeom>
                  <a:ln/>
                </pic:spPr>
              </pic:pic>
            </a:graphicData>
          </a:graphic>
        </wp:anchor>
      </w:drawing>
    </w:r>
  </w:p>
  <w:p w14:paraId="3942614F" w14:textId="77777777" w:rsidR="004E5DCE" w:rsidRDefault="004E5DCE" w:rsidP="004E5DCE">
    <w:pPr>
      <w:pBdr>
        <w:top w:val="nil"/>
        <w:left w:val="nil"/>
        <w:bottom w:val="nil"/>
        <w:right w:val="nil"/>
        <w:between w:val="nil"/>
      </w:pBdr>
      <w:tabs>
        <w:tab w:val="left" w:pos="1440"/>
        <w:tab w:val="center" w:pos="4680"/>
        <w:tab w:val="right" w:pos="9360"/>
        <w:tab w:val="left" w:pos="1440"/>
      </w:tabs>
      <w:spacing w:after="0" w:line="240" w:lineRule="auto"/>
      <w:rPr>
        <w:rFonts w:ascii="Times New Roman" w:hAnsi="Times New Roman"/>
        <w:b/>
        <w:color w:val="000000"/>
        <w:sz w:val="24"/>
        <w:szCs w:val="24"/>
      </w:rPr>
    </w:pPr>
    <w:r>
      <w:rPr>
        <w:rFonts w:ascii="Times New Roman" w:hAnsi="Times New Roman"/>
        <w:b/>
        <w:color w:val="000000"/>
        <w:sz w:val="24"/>
        <w:szCs w:val="24"/>
      </w:rPr>
      <w:tab/>
      <w:t>Volume 15 Nomor 1, Halaman …-…</w:t>
    </w:r>
  </w:p>
  <w:p w14:paraId="429BE7D8" w14:textId="77777777" w:rsidR="004E5DCE" w:rsidRDefault="004E5DCE" w:rsidP="004E5DCE">
    <w:pPr>
      <w:pBdr>
        <w:top w:val="nil"/>
        <w:left w:val="nil"/>
        <w:bottom w:val="nil"/>
        <w:right w:val="nil"/>
        <w:between w:val="nil"/>
      </w:pBdr>
      <w:tabs>
        <w:tab w:val="left" w:pos="1440"/>
        <w:tab w:val="center" w:pos="4680"/>
        <w:tab w:val="right" w:pos="9360"/>
        <w:tab w:val="left" w:pos="1440"/>
        <w:tab w:val="center" w:pos="4536"/>
        <w:tab w:val="left" w:pos="8385"/>
      </w:tabs>
      <w:spacing w:after="0" w:line="240" w:lineRule="auto"/>
      <w:rPr>
        <w:rFonts w:ascii="Times New Roman" w:hAnsi="Times New Roman"/>
        <w:b/>
        <w:color w:val="000000"/>
        <w:sz w:val="24"/>
        <w:szCs w:val="24"/>
      </w:rPr>
    </w:pPr>
    <w:r>
      <w:rPr>
        <w:rFonts w:ascii="Times New Roman" w:hAnsi="Times New Roman"/>
        <w:b/>
        <w:color w:val="000000"/>
        <w:sz w:val="24"/>
        <w:szCs w:val="24"/>
      </w:rPr>
      <w:tab/>
      <w:t>p-ISSN: 2085-3610, e-ISSN: 2746-7503</w:t>
    </w:r>
    <w:r>
      <w:rPr>
        <w:rFonts w:ascii="Times New Roman" w:hAnsi="Times New Roman"/>
        <w:b/>
        <w:color w:val="000000"/>
        <w:sz w:val="24"/>
        <w:szCs w:val="24"/>
      </w:rPr>
      <w:tab/>
    </w:r>
  </w:p>
  <w:p w14:paraId="721A22A1" w14:textId="77777777" w:rsidR="004E5DCE" w:rsidRDefault="004E5DCE" w:rsidP="004E5DCE">
    <w:pPr>
      <w:pBdr>
        <w:top w:val="nil"/>
        <w:left w:val="nil"/>
        <w:bottom w:val="nil"/>
        <w:right w:val="nil"/>
        <w:between w:val="nil"/>
      </w:pBdr>
      <w:tabs>
        <w:tab w:val="center" w:pos="4680"/>
        <w:tab w:val="right" w:pos="9360"/>
        <w:tab w:val="left" w:pos="1440"/>
      </w:tabs>
      <w:spacing w:after="0" w:line="240" w:lineRule="auto"/>
      <w:ind w:firstLine="1440"/>
      <w:rPr>
        <w:rFonts w:ascii="Times New Roman" w:hAnsi="Times New Roman"/>
        <w:color w:val="000000"/>
        <w:sz w:val="24"/>
        <w:szCs w:val="24"/>
      </w:rPr>
    </w:pPr>
    <w:r>
      <w:rPr>
        <w:rFonts w:ascii="Times New Roman" w:hAnsi="Times New Roman"/>
        <w:color w:val="000000"/>
        <w:sz w:val="24"/>
        <w:szCs w:val="24"/>
      </w:rPr>
      <w:t>https://journal.unismuh.ac.id/index.php/sigma</w:t>
    </w:r>
  </w:p>
  <w:p w14:paraId="6FAF8088" w14:textId="77777777" w:rsidR="004E5DCE" w:rsidRPr="004E5DCE" w:rsidRDefault="004E5DCE" w:rsidP="004E5DCE">
    <w:pPr>
      <w:pStyle w:val="Header"/>
    </w:pPr>
  </w:p>
  <w:p w14:paraId="3AE2DFF6" w14:textId="77777777" w:rsidR="004E5DCE" w:rsidRDefault="004E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63DA"/>
    <w:multiLevelType w:val="multilevel"/>
    <w:tmpl w:val="D978939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6447372"/>
    <w:multiLevelType w:val="multilevel"/>
    <w:tmpl w:val="8010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C2730"/>
    <w:multiLevelType w:val="multilevel"/>
    <w:tmpl w:val="402A0A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97075">
    <w:abstractNumId w:val="0"/>
  </w:num>
  <w:num w:numId="2" w16cid:durableId="676737377">
    <w:abstractNumId w:val="2"/>
  </w:num>
  <w:num w:numId="3" w16cid:durableId="5959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71"/>
    <w:rsid w:val="003D57BA"/>
    <w:rsid w:val="004E5DCE"/>
    <w:rsid w:val="00561A6C"/>
    <w:rsid w:val="0058167A"/>
    <w:rsid w:val="005849CE"/>
    <w:rsid w:val="005A499E"/>
    <w:rsid w:val="005F2F1C"/>
    <w:rsid w:val="0084739E"/>
    <w:rsid w:val="00945FF6"/>
    <w:rsid w:val="00AB3AF9"/>
    <w:rsid w:val="00B81E4D"/>
    <w:rsid w:val="00C96D0E"/>
    <w:rsid w:val="00D84D35"/>
    <w:rsid w:val="00DF55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0C45"/>
  <w15:docId w15:val="{79F1101C-CC5E-493C-AF42-EF2CEF5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en-US" w:eastAsia="id-ID"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E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
    <w:basedOn w:val="Normal"/>
    <w:link w:val="ListParagraphChar"/>
    <w:uiPriority w:val="34"/>
    <w:qFormat/>
    <w:rsid w:val="00A249F1"/>
    <w:pPr>
      <w:ind w:left="720"/>
      <w:contextualSpacing/>
    </w:pPr>
  </w:style>
  <w:style w:type="character" w:customStyle="1" w:styleId="ListParagraphChar">
    <w:name w:val="List Paragraph Char"/>
    <w:aliases w:val="Body of text Char"/>
    <w:basedOn w:val="DefaultParagraphFont"/>
    <w:link w:val="ListParagraph"/>
    <w:uiPriority w:val="34"/>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39"/>
    <w:rsid w:val="00C33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96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Pythagoras921HowToCiteTitle">
    <w:name w:val="Style Pythagoras_921HowToCiteTitle"/>
    <w:basedOn w:val="Normal"/>
    <w:rsid w:val="00146A51"/>
    <w:pPr>
      <w:spacing w:after="0" w:line="240" w:lineRule="auto"/>
      <w:contextualSpacing/>
      <w:jc w:val="both"/>
    </w:pPr>
    <w:rPr>
      <w:rFonts w:asciiTheme="minorHAnsi" w:hAnsiTheme="minorHAnsi"/>
      <w:b/>
      <w:bCs/>
      <w:color w:val="000000" w:themeColor="text1"/>
      <w:spacing w:val="-10"/>
      <w:sz w:val="20"/>
      <w:szCs w:val="24"/>
    </w:rPr>
  </w:style>
  <w:style w:type="character" w:customStyle="1" w:styleId="UnresolvedMention1">
    <w:name w:val="Unresolved Mention1"/>
    <w:basedOn w:val="DefaultParagraphFont"/>
    <w:uiPriority w:val="99"/>
    <w:semiHidden/>
    <w:unhideWhenUsed/>
    <w:rsid w:val="00146A5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30E0E"/>
    <w:rPr>
      <w:sz w:val="16"/>
      <w:szCs w:val="16"/>
    </w:rPr>
  </w:style>
  <w:style w:type="paragraph" w:styleId="CommentText">
    <w:name w:val="annotation text"/>
    <w:basedOn w:val="Normal"/>
    <w:link w:val="CommentTextChar"/>
    <w:uiPriority w:val="99"/>
    <w:semiHidden/>
    <w:unhideWhenUsed/>
    <w:rsid w:val="00330E0E"/>
    <w:pPr>
      <w:spacing w:line="240" w:lineRule="auto"/>
    </w:pPr>
    <w:rPr>
      <w:sz w:val="20"/>
      <w:szCs w:val="20"/>
    </w:rPr>
  </w:style>
  <w:style w:type="character" w:customStyle="1" w:styleId="CommentTextChar">
    <w:name w:val="Comment Text Char"/>
    <w:basedOn w:val="DefaultParagraphFont"/>
    <w:link w:val="CommentText"/>
    <w:uiPriority w:val="99"/>
    <w:semiHidden/>
    <w:rsid w:val="00330E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E0E"/>
    <w:rPr>
      <w:b/>
      <w:bCs/>
    </w:rPr>
  </w:style>
  <w:style w:type="character" w:customStyle="1" w:styleId="CommentSubjectChar">
    <w:name w:val="Comment Subject Char"/>
    <w:basedOn w:val="CommentTextChar"/>
    <w:link w:val="CommentSubject"/>
    <w:uiPriority w:val="99"/>
    <w:semiHidden/>
    <w:rsid w:val="00330E0E"/>
    <w:rPr>
      <w:rFonts w:eastAsia="Times New Roman" w:cs="Times New Roman"/>
      <w:b/>
      <w:bCs/>
      <w:sz w:val="20"/>
      <w:szCs w:val="20"/>
    </w:rPr>
  </w:style>
  <w:style w:type="table" w:styleId="PlainTable3">
    <w:name w:val="Plain Table 3"/>
    <w:basedOn w:val="TableNormal"/>
    <w:uiPriority w:val="43"/>
    <w:rsid w:val="00F657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HjTrloM3x7Oq7y5WqQV+l2G3A==">CgMxLjA4AHIhMWN5V3hFa3NVY3hEQUhZZ0kwNWVvRG9vMHNKY3dxUnBo</go:docsCustomData>
</go:gDocsCustomXmlDataStorage>
</file>

<file path=customXml/itemProps1.xml><?xml version="1.0" encoding="utf-8"?>
<ds:datastoreItem xmlns:ds="http://schemas.openxmlformats.org/officeDocument/2006/customXml" ds:itemID="{9EE95BEC-F63C-41C8-8AD7-3A601904D8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7990</Words>
  <Characters>45544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Linda Ramadhanty januar</cp:lastModifiedBy>
  <cp:revision>2</cp:revision>
  <dcterms:created xsi:type="dcterms:W3CDTF">2024-06-15T01:43:00Z</dcterms:created>
  <dcterms:modified xsi:type="dcterms:W3CDTF">2024-06-15T01:43:00Z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